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40" w:rsidRPr="001A7840" w:rsidRDefault="001A7840" w:rsidP="001A7840">
      <w:pPr>
        <w:spacing w:after="0" w:line="240" w:lineRule="auto"/>
        <w:jc w:val="center"/>
        <w:rPr>
          <w:rFonts w:ascii="Calibri" w:eastAsia="Times New Roman" w:hAnsi="Calibri" w:cs="Calibri"/>
          <w:b/>
          <w:color w:val="002060"/>
          <w:spacing w:val="40"/>
          <w:kern w:val="2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Ketevan Goginashvili, MPH</w:t>
      </w:r>
    </w:p>
    <w:p w:rsidR="001A7840" w:rsidRPr="001A7840" w:rsidRDefault="001A7840" w:rsidP="001A784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1A7840" w:rsidRPr="001A7840" w:rsidTr="00471CA2">
        <w:trPr>
          <w:cantSplit/>
        </w:trPr>
        <w:tc>
          <w:tcPr>
            <w:tcW w:w="5000" w:type="pct"/>
          </w:tcPr>
          <w:p w:rsidR="001A7840" w:rsidRPr="001A7840" w:rsidRDefault="001A7840" w:rsidP="001A7840">
            <w:pPr>
              <w:keepNext/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Personal Details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118"/>
      </w:tblGrid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Name: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Ketevan Goginashvili</w:t>
            </w:r>
          </w:p>
        </w:tc>
      </w:tr>
      <w:tr w:rsidR="001A7840" w:rsidRPr="001A7840" w:rsidTr="00471CA2">
        <w:trPr>
          <w:trHeight w:val="634"/>
        </w:trPr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proofErr w:type="spellStart"/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Addreess</w:t>
            </w:r>
            <w:proofErr w:type="spellEnd"/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sz w:val="24"/>
                <w:szCs w:val="24"/>
                <w:lang w:eastAsia="ru-RU"/>
              </w:rPr>
              <w:t>72</w:t>
            </w: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Calibri" w:hAnsi="Calibri" w:cs="Calibri"/>
                <w:sz w:val="24"/>
                <w:szCs w:val="24"/>
                <w:lang w:eastAsia="ru-RU"/>
              </w:rPr>
              <w:t>Kavtaradze</w:t>
            </w: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 xml:space="preserve"> str.</w:t>
            </w:r>
          </w:p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sz w:val="24"/>
                <w:szCs w:val="24"/>
                <w:lang w:eastAsia="ru-RU"/>
              </w:rPr>
              <w:t>0186</w:t>
            </w: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, Tbilisi, Georgia</w:t>
            </w:r>
          </w:p>
        </w:tc>
      </w:tr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E-mail: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9010D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hyperlink r:id="rId6" w:history="1">
              <w:r w:rsidR="001A7840" w:rsidRPr="001A7840">
                <w:rPr>
                  <w:rFonts w:ascii="Calibri" w:hAnsi="Calibri" w:cs="Calibri"/>
                  <w:color w:val="0000FF"/>
                  <w:sz w:val="24"/>
                  <w:szCs w:val="24"/>
                  <w:u w:val="single"/>
                  <w:lang w:eastAsia="ru-RU"/>
                </w:rPr>
                <w:t>kgoginashvili@moh.gov.ge</w:t>
              </w:r>
            </w:hyperlink>
          </w:p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</w:p>
        </w:tc>
      </w:tr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Telephone: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+995 577 71 79 84</w:t>
            </w:r>
          </w:p>
        </w:tc>
      </w:tr>
      <w:tr w:rsidR="001A7840" w:rsidRPr="001A7840" w:rsidTr="00471CA2">
        <w:tc>
          <w:tcPr>
            <w:tcW w:w="1668" w:type="dxa"/>
            <w:tcBorders>
              <w:righ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Nationality:</w:t>
            </w:r>
          </w:p>
        </w:tc>
        <w:tc>
          <w:tcPr>
            <w:tcW w:w="3118" w:type="dxa"/>
            <w:tcBorders>
              <w:left w:val="single" w:sz="4" w:space="0" w:color="548DD4" w:themeColor="text2" w:themeTint="99"/>
            </w:tcBorders>
          </w:tcPr>
          <w:p w:rsidR="001A7840" w:rsidRPr="001A7840" w:rsidRDefault="001A7840" w:rsidP="001A7840">
            <w:pPr>
              <w:rPr>
                <w:rFonts w:ascii="Calibri" w:hAnsi="Calibri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hAnsi="Calibri" w:cs="Calibri"/>
                <w:sz w:val="24"/>
                <w:szCs w:val="24"/>
                <w:lang w:eastAsia="ru-RU"/>
              </w:rPr>
              <w:t>Georgian</w:t>
            </w: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1037"/>
        <w:gridCol w:w="8534"/>
      </w:tblGrid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Professional Experience</w:t>
            </w:r>
          </w:p>
        </w:tc>
      </w:tr>
      <w:tr w:rsidR="00144950" w:rsidRPr="001A7840" w:rsidTr="00144950">
        <w:trPr>
          <w:cantSplit/>
          <w:trHeight w:val="1138"/>
        </w:trPr>
        <w:tc>
          <w:tcPr>
            <w:tcW w:w="542" w:type="pct"/>
            <w:tcBorders>
              <w:right w:val="single" w:sz="4" w:space="0" w:color="548DD4"/>
            </w:tcBorders>
          </w:tcPr>
          <w:p w:rsidR="00144950" w:rsidRPr="001A7840" w:rsidRDefault="00144950" w:rsidP="0014495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11.2019 </w:t>
            </w: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up to now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44950" w:rsidRPr="001A7840" w:rsidRDefault="00144950" w:rsidP="00144950">
            <w:pPr>
              <w:keepLines/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Ministry of </w:t>
            </w: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Internally Displaced Persons, from the Occupied Territories, </w:t>
            </w: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Labour, Health and Social Affairs</w:t>
            </w:r>
          </w:p>
          <w:p w:rsidR="00144950" w:rsidRPr="001A7840" w:rsidRDefault="00144950" w:rsidP="0014495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Chief Specialist, Policy Department</w:t>
            </w:r>
          </w:p>
          <w:p w:rsidR="00144950" w:rsidRPr="001A7840" w:rsidRDefault="00144950" w:rsidP="00144950">
            <w:pPr>
              <w:keepLines/>
              <w:spacing w:after="0" w:line="240" w:lineRule="auto"/>
              <w:ind w:left="381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Main responsibility: a) Coordination of Health Policy and Strategy documents preparation; b) participation  in development of Basic Direction Document (BDD); c) Preparation of Costing of Strategy documents;  d) Participation of budgetary process of State Health Care programs; e) Preparation of health system performance evaluation tools such as NHA, National Health Report and Health System Performance Assessment Report; f) Participation in analyses of implementation and results of State Health Programs; g) Analysis and Coordination of Investment, infrastructure and other projects; h) WHO’s Country Focal Point for National Health Accounts; i) UN European Economic Commission’s country focal point for Ageing.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4495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2015 </w:t>
            </w:r>
            <w:r w:rsidR="0014495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– 10.2019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Ministry of Labour, Health and Social Affairs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Head of Health Policy Division</w:t>
            </w:r>
          </w:p>
          <w:p w:rsidR="001A7840" w:rsidRPr="001A7840" w:rsidRDefault="001A7840" w:rsidP="001A7840">
            <w:pPr>
              <w:keepLines/>
              <w:spacing w:after="0" w:line="240" w:lineRule="auto"/>
              <w:ind w:left="313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Main responsibility: a) Coordination of Health Policy and Strategy documents preparation; b) participation  in development of Basic Direction Document (BDD); c) Preparation of Costing of Strategy documents;  d) Participation of budgetary process of State Health Care programs; e) Preparation of health system performance evaluation tools such as NHA, National Health Report and Health System Performance Assessment Report; f) Participation in analyses of implementation and results of State Health Programs; g) Analysis and Coordination of Investment, infrastructure and other projects; h) WHO’s Country Focal Point for National Health Accounts; i) UN European Economic Commission’s country focal point for Ageing.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lastRenderedPageBreak/>
              <w:t>2007 - 2014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Ministry of Labour, Health and Social Affairs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Chief Specialist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ind w:left="284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Main responsibilities: a) Coordination of preparation Health Policy and Strategy documents preparation;</w:t>
            </w:r>
            <w:r w:rsidRPr="001A7840">
              <w:rPr>
                <w:rFonts w:ascii="Calibri" w:eastAsia="Times New Roman" w:hAnsi="Calibri" w:cs="Calibri"/>
                <w:sz w:val="20"/>
                <w:szCs w:val="19"/>
              </w:rPr>
              <w:t xml:space="preserve"> 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b) participation in development of Basic Direction Document (BDD); c) Preparation of health system performance evaluation tools such as NHA, National Health Report and Health System Performance Assessment Report; d) Participation in conducting of household survey on health service utilization and expenditure; e) Participation in analyses of implementation and results of State Health Programs; f) WHO’s Country Focal Point for National Health Accounts; g) UN European Economic Commission’s country focal point for Ageing.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2003 – 2006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National institute of Health and Social Affairs 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Expert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ind w:left="284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Main responsibilities: a) provision of technical assistant to the project management and implemented by NIHSA on the following issues: health care policy, health care financing, primary health care reform, </w:t>
            </w:r>
            <w:proofErr w:type="spell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etc</w:t>
            </w:r>
            <w:proofErr w:type="spell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;  b) participation in the research on health and social issues carried out by NIHSA; c) Elaboration and development of National Health Accounts (NHA) methodology and classification for Georgia.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1995 – 2003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National Health Management Center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Scientific Worker</w:t>
            </w:r>
          </w:p>
          <w:p w:rsidR="001A7840" w:rsidRPr="001A7840" w:rsidRDefault="001A7840" w:rsidP="001A7840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Main responsibilities: a) Participation in preparation of National Health Report of Georgia and data  (health status, demographic and socio-economic determinants) analyzes; b) Participation  in preparation of Economic Grows and Poverty Reduction Program; c) Participation in analyses of implementation and results of State Health Programs d) Participation in elaboration of National Health Policy and Strategic Health Plan for Georgia 2000-2009</w:t>
            </w:r>
          </w:p>
          <w:p w:rsidR="001A7840" w:rsidRPr="001A7840" w:rsidRDefault="001A7840" w:rsidP="001A7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1991 – 1995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Research Institute of Medical Informatics of Ministry of Health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Scientific Worker 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ind w:left="284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Main responsibilities: a) provision of technical assistant to the project management and implemented by IMI on the following issues: health care policy, Family Medicine, Electronic Medical Card 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pBdr>
                <w:left w:val="single" w:sz="6" w:space="5" w:color="auto"/>
              </w:pBdr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Consultancy Experience</w:t>
            </w:r>
          </w:p>
        </w:tc>
      </w:tr>
      <w:tr w:rsidR="00144950" w:rsidRPr="001A7840" w:rsidTr="001A01E8">
        <w:trPr>
          <w:cantSplit/>
          <w:trHeight w:val="1477"/>
        </w:trPr>
        <w:tc>
          <w:tcPr>
            <w:tcW w:w="542" w:type="pct"/>
            <w:tcBorders>
              <w:right w:val="single" w:sz="4" w:space="0" w:color="548DD4"/>
            </w:tcBorders>
          </w:tcPr>
          <w:p w:rsidR="00144950" w:rsidRDefault="0014495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AD69B2" w:rsidRPr="001A7840" w:rsidRDefault="00AD69B2" w:rsidP="00AD69B2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Expenditures in Georgia. Tbilisi, Georgia. WHO/EURO</w:t>
            </w:r>
          </w:p>
          <w:p w:rsidR="00144950" w:rsidRDefault="00AD69B2" w:rsidP="00AD69B2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Technical assistance, to estimate catastrophic expenditure and impoverishment by total out-of-pocket payment</w:t>
            </w:r>
          </w:p>
        </w:tc>
      </w:tr>
      <w:tr w:rsidR="001A01E8" w:rsidRPr="001A7840" w:rsidTr="001A01E8">
        <w:trPr>
          <w:cantSplit/>
          <w:trHeight w:val="1439"/>
        </w:trPr>
        <w:tc>
          <w:tcPr>
            <w:tcW w:w="542" w:type="pct"/>
            <w:tcBorders>
              <w:right w:val="single" w:sz="4" w:space="0" w:color="548DD4"/>
            </w:tcBorders>
          </w:tcPr>
          <w:p w:rsidR="001A01E8" w:rsidRDefault="001A01E8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01E8" w:rsidRDefault="00592F27" w:rsidP="001A01E8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592F27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Monitoring progress towards universal health coverage: generating new evidence on financial protection in health systems in Europe / FP data analysis Georgia</w:t>
            </w:r>
            <w:r w:rsidR="001A01E8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. </w:t>
            </w:r>
            <w:r w:rsidR="001A01E8"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WHO/EURO</w:t>
            </w:r>
          </w:p>
          <w:p w:rsidR="001A01E8" w:rsidRPr="00592F27" w:rsidRDefault="00592F27" w:rsidP="00592F27">
            <w:pPr>
              <w:keepNext/>
              <w:keepLines/>
              <w:spacing w:before="6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F27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To </w:t>
            </w:r>
            <w:proofErr w:type="spellStart"/>
            <w:r w:rsidRPr="00592F27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analyse</w:t>
            </w:r>
            <w:proofErr w:type="spellEnd"/>
            <w:r w:rsidRPr="00592F27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 microdata from the 2018 household budget survey da</w:t>
            </w:r>
            <w:r w:rsidRPr="00592F27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ta for </w:t>
            </w:r>
            <w:r w:rsidRPr="00592F27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Georgia using do files supplied by WHO and to use</w:t>
            </w:r>
            <w:r w:rsidRPr="00592F27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 the results obtained from this </w:t>
            </w:r>
            <w:r w:rsidRPr="00592F27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analysis to update the appendix tables for 2016 and 2017</w:t>
            </w:r>
          </w:p>
        </w:tc>
      </w:tr>
      <w:tr w:rsidR="001A01E8" w:rsidRPr="001A7840" w:rsidTr="001A01E8">
        <w:trPr>
          <w:cantSplit/>
          <w:trHeight w:val="1439"/>
        </w:trPr>
        <w:tc>
          <w:tcPr>
            <w:tcW w:w="542" w:type="pct"/>
            <w:tcBorders>
              <w:right w:val="single" w:sz="4" w:space="0" w:color="548DD4"/>
            </w:tcBorders>
          </w:tcPr>
          <w:p w:rsidR="001A01E8" w:rsidRDefault="001A01E8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lastRenderedPageBreak/>
              <w:t>2018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01E8" w:rsidRPr="001A7840" w:rsidRDefault="001A01E8" w:rsidP="001A01E8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Expenditures in Georgia. Tbilisi, Georgia. WHO/EURO</w:t>
            </w:r>
          </w:p>
          <w:p w:rsidR="001A01E8" w:rsidRDefault="001A01E8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Technical assistance, to estimate catastrophic expenditure and impoverishment by total out-of-pocket payment</w:t>
            </w:r>
          </w:p>
        </w:tc>
      </w:tr>
      <w:tr w:rsidR="00D7185C" w:rsidRPr="001A7840" w:rsidTr="00D7185C">
        <w:trPr>
          <w:cantSplit/>
          <w:trHeight w:val="515"/>
        </w:trPr>
        <w:tc>
          <w:tcPr>
            <w:tcW w:w="542" w:type="pct"/>
            <w:tcBorders>
              <w:right w:val="single" w:sz="4" w:space="0" w:color="548DD4"/>
            </w:tcBorders>
          </w:tcPr>
          <w:p w:rsidR="00D7185C" w:rsidRPr="001A7840" w:rsidRDefault="00D7185C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D7185C" w:rsidRPr="001A7840" w:rsidRDefault="00D7185C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Preparation of costing for Harm R</w:t>
            </w:r>
            <w:r w:rsidRPr="00D7185C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edaction standards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GHRN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</w:tc>
      </w:tr>
      <w:tr w:rsidR="001A7840" w:rsidRPr="001A7840" w:rsidTr="00471CA2">
        <w:trPr>
          <w:cantSplit/>
          <w:trHeight w:val="1417"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Documenting best practices of country financing models for harm reduction programs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(</w:t>
            </w:r>
            <w:r w:rsidR="00D7185C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GHRN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Describe and perform assessment financing models for harm reduction from the state / municipal budget and / or regional budgets</w:t>
            </w: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.</w:t>
            </w:r>
          </w:p>
        </w:tc>
      </w:tr>
      <w:tr w:rsidR="007C05D4" w:rsidRPr="001A7840" w:rsidTr="008257F0">
        <w:trPr>
          <w:cantSplit/>
          <w:trHeight w:val="1513"/>
        </w:trPr>
        <w:tc>
          <w:tcPr>
            <w:tcW w:w="542" w:type="pct"/>
            <w:tcBorders>
              <w:right w:val="single" w:sz="4" w:space="0" w:color="548DD4"/>
            </w:tcBorders>
          </w:tcPr>
          <w:p w:rsidR="007C05D4" w:rsidRPr="001A7840" w:rsidRDefault="007C05D4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7C05D4" w:rsidRDefault="008257F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8257F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Develop of costing for Hep</w:t>
            </w: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atitis</w:t>
            </w:r>
            <w:r w:rsidRPr="008257F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C elimination strategy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 (</w:t>
            </w:r>
            <w:r w:rsidR="00D7185C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US </w:t>
            </w:r>
            <w:r w:rsidR="007C05D4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CDC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  <w:p w:rsidR="008257F0" w:rsidRPr="001A7840" w:rsidRDefault="008257F0" w:rsidP="008257F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Review existing national evidence on financial </w:t>
            </w:r>
            <w:proofErr w:type="spellStart"/>
            <w:r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Hep</w:t>
            </w:r>
            <w:proofErr w:type="spellEnd"/>
            <w:r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 C activities; C</w:t>
            </w:r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onduct mar</w:t>
            </w:r>
            <w:r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ket research for </w:t>
            </w:r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prices analysis for </w:t>
            </w:r>
            <w:proofErr w:type="spellStart"/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Hep</w:t>
            </w:r>
            <w:proofErr w:type="spellEnd"/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 C activities</w:t>
            </w:r>
            <w:r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; </w:t>
            </w:r>
            <w:r w:rsidRPr="008257F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Develop of costing for Hepatitis C elimination strategy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2015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s in Georgia. Tbilisi, Georgia (</w:t>
            </w: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WHO/EURO</w:t>
            </w:r>
            <w:r w:rsidR="00E41566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)</w:t>
            </w:r>
          </w:p>
          <w:p w:rsidR="001A7840" w:rsidRPr="001A7840" w:rsidRDefault="001A7840" w:rsidP="001A7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Review existing national evidence on financial protection; Provide new estimates of financial protection based on standard WHO approaches; Highlight the key findings of the data analysis, discuss them in the context of health financing policy in the country and present the results in a succinct, accessible and policy-relevant report written 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2015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Data Analyst for Assessment of the Government Expenditures for Tuberculosis Services in Georgia (USAID/URC)</w:t>
            </w:r>
          </w:p>
          <w:p w:rsidR="001A7840" w:rsidRPr="001A7840" w:rsidRDefault="001A7840" w:rsidP="001A7840">
            <w:pPr>
              <w:spacing w:before="40" w:after="40" w:line="240" w:lineRule="auto"/>
              <w:jc w:val="both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 xml:space="preserve">Consultant: To perform a desk review of available data related to the state budget TB expenditures for health care; To collect detailed TB expenditure data; Conduct statistical analyses of all relevant data and assessment of TB expenditures for the last 3-5 years according to the predefined methodology. 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Sylfaen" w:eastAsia="Times New Roman" w:hAnsi="Sylfaen" w:cs="Calibri"/>
                <w:b/>
                <w:color w:val="000080"/>
                <w:sz w:val="24"/>
                <w:szCs w:val="24"/>
                <w:lang w:val="ka-GE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 xml:space="preserve">2011 </w:t>
            </w:r>
            <w:r w:rsidRPr="001A7840">
              <w:rPr>
                <w:rFonts w:ascii="Sylfaen" w:eastAsia="Times New Roman" w:hAnsi="Sylfaen" w:cs="Times New Roman"/>
                <w:b/>
                <w:color w:val="000080"/>
                <w:sz w:val="20"/>
                <w:szCs w:val="19"/>
                <w:lang w:val="ka-GE"/>
              </w:rPr>
              <w:t>-</w:t>
            </w: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2013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Health System Strengthening Project (USAID)</w:t>
            </w:r>
          </w:p>
          <w:p w:rsidR="001A7840" w:rsidRPr="001A7840" w:rsidRDefault="001A7840" w:rsidP="00C149AD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Consultant: Coordinator for HMIS Financial Direction Development</w:t>
            </w: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. Main responsibilities: a) Description of data flows and business procedures related to HMIS financial direction; b) Functional and technical definitions and standards for the HMIS financing direction; c) Joint presentations, meeting together with HSSP team members and other stakeholders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Sylfaen" w:eastAsia="Times New Roman" w:hAnsi="Sylfaen" w:cs="Times New Roman"/>
                <w:b/>
                <w:color w:val="000080"/>
                <w:sz w:val="20"/>
                <w:szCs w:val="19"/>
                <w:lang w:val="ka-GE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2011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Expenditures in Georgia. Tbilisi, Georgia. WHO/EURO</w:t>
            </w:r>
          </w:p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Technical assistance, to estimate catastrophic expenditure and impoverishment by total out-of-pocket payment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2010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 xml:space="preserve">Piloting of revised SHA2.0 dimension. World Health Organization (WHO)  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Consultant, responsible to provide technical assistance to WHO </w:t>
            </w:r>
            <w:r w:rsidRPr="001A7840">
              <w:rPr>
                <w:rFonts w:ascii="Calibri" w:eastAsia="Times New Roman" w:hAnsi="Calibri" w:cs="Times New Roman"/>
                <w:bCs/>
                <w:iCs/>
                <w:sz w:val="24"/>
                <w:szCs w:val="24"/>
              </w:rPr>
              <w:t>working group for the revision of SHA2.0 in following tasks: a) populate the compulsory SHA tables plus one optional table; b) describe the data sources needed for each of the tables; c) refine the mapping at national level for the SHA.1 to SHA.2, explain the main advantages and difficulties compared to using the current SHA or PG; d) compare the basic indicators derived from both data sets.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lastRenderedPageBreak/>
              <w:t>2010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Comparative analysis of health expenditure data in the CIS countries. World Health Organization/EURO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Team leader, responsible for coordinate and write for CIS NHA network outlining the discrepancies in the understanding of categories of “financing sources” and “financing agent” in the National Health Accounts: “Comparative analysis of Health expenditure patterns in the Eastern Europe and Central Asia”.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2009-2016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Times New Roman"/>
                <w:b/>
                <w:color w:val="000080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Assessment report on HIV/AIDS-related expenditures (NASA)</w:t>
            </w:r>
            <w:r w:rsidRPr="001A7840">
              <w:rPr>
                <w:rFonts w:ascii="Calibri" w:eastAsia="Times New Roman" w:hAnsi="Calibri" w:cs="Times New Roman"/>
                <w:b/>
                <w:color w:val="000080"/>
              </w:rPr>
              <w:t xml:space="preserve"> </w:t>
            </w:r>
          </w:p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Consultant, responsible for a) preparing the chapter on HIV/AIDS-related expenditures of the 2008-2016 UNGASS report on the basis of NHA data 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jc w:val="both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Unit cost survey. World Health Organization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Consultant, responsible for a) Coordinate facility-level data reporting (and supplementary data collection if needed)  of the variables; b) Entry data in a single Microsoft Excel file according to template provided by WHO; c) Provide summary description of the methods of unit cost analysis including a description of the sample of facilities included in the database.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Institutionalization of National Health Accounts: Experiences from Georgia. World Bank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Consultant, responsible for assess: a) How NHA institutionalization is understood and perceived in Georgia; b) The overall experience of NHA institutionalization </w:t>
            </w:r>
            <w:proofErr w:type="gram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in  Georgia</w:t>
            </w:r>
            <w:proofErr w:type="gram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; c) The factors that have presented or are likely to present significant problems for NHA institutionalization; d) The strategies that have been or can be adopted at the country level to successfully institutionalize NHA in Georgia; e) Uses of NHA data; f) The future direction of NHA institutionalization.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Distribution of Health Payments and Catastrophic Expenditures in Georgia. Tbilisi, Georgia. WHO/EURO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Technical assistance, to estimate catastrophic expenditure and impoverishment by total out-of-pocket payment.</w:t>
            </w:r>
          </w:p>
        </w:tc>
      </w:tr>
    </w:tbl>
    <w:p w:rsidR="001A7840" w:rsidRPr="001A7840" w:rsidRDefault="001A7840" w:rsidP="001A7840">
      <w:pPr>
        <w:keepNext/>
        <w:shd w:val="clear" w:color="auto" w:fill="E6E6E6"/>
        <w:spacing w:before="240" w:after="0" w:line="240" w:lineRule="auto"/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37"/>
        <w:gridCol w:w="8534"/>
      </w:tblGrid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ED7B57" w:rsidRDefault="001A7840" w:rsidP="00ED7B57">
            <w:pPr>
              <w:spacing w:before="60" w:after="0" w:line="240" w:lineRule="auto"/>
              <w:rPr>
                <w:rFonts w:ascii="Sylfaen" w:eastAsia="Times New Roman" w:hAnsi="Sylfaen" w:cs="Times New Roman"/>
                <w:b/>
                <w:color w:val="000080"/>
                <w:sz w:val="20"/>
                <w:szCs w:val="19"/>
                <w:lang w:val="ka-GE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2014 201</w:t>
            </w:r>
            <w:r w:rsidR="00ED7B57">
              <w:rPr>
                <w:rFonts w:ascii="Sylfaen" w:eastAsia="Times New Roman" w:hAnsi="Sylfaen" w:cs="Times New Roman"/>
                <w:b/>
                <w:color w:val="000080"/>
                <w:sz w:val="20"/>
                <w:szCs w:val="19"/>
                <w:lang w:val="ka-GE"/>
              </w:rPr>
              <w:t>9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9010D0" w:rsidRPr="001A7840" w:rsidRDefault="009010D0" w:rsidP="009010D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University of Georgia</w:t>
            </w:r>
          </w:p>
          <w:p w:rsidR="001A7840" w:rsidRPr="001A7840" w:rsidRDefault="009010D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Public Health</w:t>
            </w:r>
            <w:r w:rsidR="001A7840"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 PhD program</w:t>
            </w:r>
            <w:bookmarkStart w:id="0" w:name="_GoBack"/>
            <w:bookmarkEnd w:id="0"/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2005 – 2008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University of Georgia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Mater of Public Health</w:t>
            </w:r>
          </w:p>
        </w:tc>
      </w:tr>
      <w:tr w:rsidR="001A7840" w:rsidRPr="001A7840" w:rsidTr="00471CA2">
        <w:trPr>
          <w:cantSplit/>
        </w:trPr>
        <w:tc>
          <w:tcPr>
            <w:tcW w:w="542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</w:pPr>
            <w:r w:rsidRPr="001A7840">
              <w:rPr>
                <w:rFonts w:ascii="Trebuchet MS" w:eastAsia="Times New Roman" w:hAnsi="Trebuchet MS" w:cs="Times New Roman"/>
                <w:b/>
                <w:color w:val="000080"/>
                <w:sz w:val="20"/>
                <w:szCs w:val="19"/>
              </w:rPr>
              <w:t>1985 - 1990</w:t>
            </w:r>
          </w:p>
        </w:tc>
        <w:tc>
          <w:tcPr>
            <w:tcW w:w="4458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Next/>
              <w:keepLines/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Tbilisi State University</w:t>
            </w:r>
          </w:p>
          <w:p w:rsidR="001A7840" w:rsidRPr="001A7840" w:rsidRDefault="001A7840" w:rsidP="001A7840">
            <w:pPr>
              <w:keepLines/>
              <w:spacing w:after="12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Master of Mathematical science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pBdr>
                <w:left w:val="single" w:sz="6" w:space="5" w:color="auto"/>
              </w:pBdr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Professional Training/Conference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World Health Organization. Flagship Course on Health System Strengthening, Focus on Non-communicable Diseases. Barcelona, Spain, 9-13 May, 2016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 xml:space="preserve">Patient Classification Systems International (PCSI). 31th Patient Classification Systems International Conference. Hague, Netherlands, October 14-17.10.2015 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The World Health Organization. Course on Health Financing Special Theme: Universal Coverage. Barcelona, Spain, 16-20 March, 2015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Improving Quality of Health Services: Strategies, Interventions and Responsibilities. Harvard School of Public Health. April 27 – May 1. 2014</w:t>
            </w:r>
          </w:p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Conference on Health System performance Assessment for Health Governance, World Health, Organization, </w:t>
            </w: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 xml:space="preserve">Amsterdam, Netherlands, 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February 16-17, 2012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Conference for Promoting the Institutionalization of National Health Accounts, World Bank, Paris, France, October, 6-7, 2011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7th Global National Health Accounts Symposium and 8th World Congress on Health economics, Certificate, Certificate, Toronto, Canada, July 10-13, 2011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Sylfaen" w:eastAsia="Times New Roman" w:hAnsi="Sylfaen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First Global Symposium on Health Systems Research, World Health Organization, Montreux, Switzerland, November 16-19</w:t>
            </w:r>
            <w:r w:rsidRPr="001A7840">
              <w:rPr>
                <w:rFonts w:ascii="Sylfaen" w:eastAsia="Times New Roman" w:hAnsi="Sylfaen" w:cs="Calibri"/>
                <w:sz w:val="24"/>
                <w:szCs w:val="24"/>
                <w:lang w:val="ka-GE"/>
              </w:rPr>
              <w:t xml:space="preserve">, 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2010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Training Course on Economic Evaluation of health Care Programs. National School of Public Health, Athen</w:t>
            </w:r>
            <w:r w:rsidRPr="001A7840">
              <w:rPr>
                <w:rFonts w:ascii="Sylfaen" w:eastAsia="Times New Roman" w:hAnsi="Sylfaen" w:cs="Calibri"/>
                <w:sz w:val="24"/>
                <w:szCs w:val="24"/>
              </w:rPr>
              <w:t>s</w:t>
            </w: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, Greece, September 24 – October 1, 2009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6th Global National Health Accounts Symposium and 7th World Congress on Health economics, Certificate, Certificate, Beijing, China, July 8-11, 2009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Policy Analysis and Writing Effective Policy Papers, Georgian-European Policy and Legal Advice Centre – GEPLAC, Tbilisi, Georgia, June 25 – September 18, 2008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Household Survey Analysis and the Financial Burden of Health Payments, WHO training program, Barcelona, Spain, March 5-7, 2008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5th Global National Health Accounts Symposium and 6th World Congress on Health economics, Certificate, Certificate, Lund, Sweden and Copenhagen, Denmark, July 8-11, 2007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4th Global National Health Accounts Symposium and </w:t>
            </w:r>
            <w:proofErr w:type="spellStart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iHEA</w:t>
            </w:r>
            <w:proofErr w:type="spellEnd"/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 5th World Congress: Investing for Health, Certificate, Barcelona, Spain, July 8-13, 2005</w:t>
            </w:r>
          </w:p>
        </w:tc>
      </w:tr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pBdr>
                <w:left w:val="single" w:sz="6" w:space="5" w:color="auto"/>
              </w:pBdr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20"/>
                <w:kern w:val="28"/>
                <w:sz w:val="2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Toc227321932"/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Publications</w:t>
            </w:r>
          </w:p>
        </w:tc>
      </w:tr>
    </w:tbl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T.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Comakhidze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, C.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Hoestlandt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K.goginashvili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at. Al. Cost-effectiveness of pneumococcal conjugate vaccination in Georgia. J. Vaccine, Vol 33, Supplement 1, (2015) A219-226. www.elsevier.com/locate/vaccine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Goginashvili K.,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Turdziladze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A., Pilot study results of revised System of Health Accounts guidelines, Georgia experience WHO, 2011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Rukhadze N., Goginashvili K., Distribution of Health Payments and Catastrophic Expenditures in Georgia, WHO/EURO, 2011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Goginashvili K. Georgian National Health Accounts. WHO. Book of Poster Abstracts, Montreux, 2009, p. 200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Markoca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N., Goginashvili K., Wilkens J. Comparative analysis of health expenditure data in the CIS Countries. WHO/EURO, 2010 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Goginashvili K.,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Turdziladze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A. Institutionalization of National Health Accounts: Experiences from Georgia, WB, 2009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Rukhadze N., Goginashvili K.,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Ormotsadze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N. Distribution of Health Payments and Catastrophic Expenditures in Georgia</w:t>
      </w:r>
      <w:bookmarkEnd w:id="1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, WHO/EURO, 2009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pt-BR"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 xml:space="preserve">Gamkrelidze A., Goginashvili K. Health as an economic category. </w:t>
      </w:r>
      <w:r w:rsidRPr="001A7840">
        <w:rPr>
          <w:rFonts w:ascii="Calibri" w:eastAsia="Times New Roman" w:hAnsi="Calibri" w:cs="Calibri"/>
          <w:sz w:val="24"/>
          <w:szCs w:val="24"/>
          <w:lang w:val="pt-BR" w:eastAsia="ru-RU"/>
        </w:rPr>
        <w:t>J. Economics, N9(82), 2004, p.p. 36-41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u-RU"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val="pt-BR" w:eastAsia="ru-RU"/>
        </w:rPr>
        <w:t xml:space="preserve">Gamkrelidze A., Metreveli N., Goginashvili K. Noncommunicable diseases as a major problem in Europe. </w:t>
      </w:r>
      <w:r w:rsidRPr="001A7840">
        <w:rPr>
          <w:rFonts w:ascii="Calibri" w:eastAsia="Times New Roman" w:hAnsi="Calibri" w:cs="Calibri"/>
          <w:sz w:val="24"/>
          <w:szCs w:val="24"/>
          <w:lang w:val="ru-RU" w:eastAsia="ru-RU"/>
        </w:rPr>
        <w:t xml:space="preserve">Georgian Medical Journal, Vol. 4, N1(9), 2005, p.p.39-49 </w:t>
      </w:r>
    </w:p>
    <w:p w:rsidR="001A7840" w:rsidRPr="001A7840" w:rsidRDefault="001A7840" w:rsidP="001A784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Goginashvili K. Establishment of distance learning using three satellite health management education centers. </w:t>
      </w:r>
      <w:proofErr w:type="spellStart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>Jorurnal</w:t>
      </w:r>
      <w:proofErr w:type="spellEnd"/>
      <w:r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of health sciences Management and public health Vol. 3, N1, 2002, p.p. 86-89</w:t>
      </w:r>
    </w:p>
    <w:p w:rsidR="001A7840" w:rsidRPr="001A7840" w:rsidRDefault="001A7840" w:rsidP="001A7840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384"/>
        <w:gridCol w:w="8187"/>
      </w:tblGrid>
      <w:tr w:rsidR="001A7840" w:rsidRPr="001A7840" w:rsidTr="00471CA2">
        <w:trPr>
          <w:cantSplit/>
        </w:trPr>
        <w:tc>
          <w:tcPr>
            <w:tcW w:w="5000" w:type="pct"/>
            <w:gridSpan w:val="2"/>
          </w:tcPr>
          <w:p w:rsidR="001A7840" w:rsidRPr="001A7840" w:rsidRDefault="001A7840" w:rsidP="001A7840">
            <w:pPr>
              <w:keepNext/>
              <w:shd w:val="clear" w:color="auto" w:fill="E6E6E6"/>
              <w:spacing w:before="240" w:after="0" w:line="240" w:lineRule="auto"/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A7840">
              <w:rPr>
                <w:rFonts w:ascii="Calibri" w:eastAsia="Times New Roman" w:hAnsi="Calibri" w:cs="Calibri"/>
                <w:b/>
                <w:color w:val="002060"/>
                <w:spacing w:val="40"/>
                <w:kern w:val="29"/>
                <w:sz w:val="29"/>
                <w:szCs w:val="2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skills</w:t>
            </w:r>
          </w:p>
          <w:p w:rsidR="001A7840" w:rsidRPr="001A7840" w:rsidRDefault="001A7840" w:rsidP="001A7840">
            <w:pPr>
              <w:tabs>
                <w:tab w:val="left" w:pos="405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Computer experience:</w:t>
            </w:r>
          </w:p>
        </w:tc>
      </w:tr>
      <w:tr w:rsidR="001A7840" w:rsidRPr="001A7840" w:rsidTr="00471CA2">
        <w:trPr>
          <w:cantSplit/>
        </w:trPr>
        <w:tc>
          <w:tcPr>
            <w:tcW w:w="723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before="60"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OS &amp; soft</w:t>
            </w:r>
          </w:p>
        </w:tc>
        <w:tc>
          <w:tcPr>
            <w:tcW w:w="4277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 xml:space="preserve">Win XP/7, MS Office, MS Project, SPSS, Adobe Photoshop, </w:t>
            </w:r>
            <w:r w:rsidRPr="001A7840">
              <w:rPr>
                <w:rFonts w:ascii="Calibri" w:eastAsia="Times New Roman" w:hAnsi="Calibri" w:cs="Calibri"/>
                <w:snapToGrid w:val="0"/>
                <w:sz w:val="24"/>
                <w:szCs w:val="24"/>
              </w:rPr>
              <w:t>CorelDraw</w:t>
            </w:r>
          </w:p>
        </w:tc>
      </w:tr>
      <w:tr w:rsidR="001A7840" w:rsidRPr="001A7840" w:rsidTr="00471CA2">
        <w:trPr>
          <w:cantSplit/>
        </w:trPr>
        <w:tc>
          <w:tcPr>
            <w:tcW w:w="723" w:type="pct"/>
            <w:tcBorders>
              <w:right w:val="single" w:sz="4" w:space="0" w:color="548DD4"/>
            </w:tcBorders>
          </w:tcPr>
          <w:p w:rsidR="001A7840" w:rsidRPr="001A7840" w:rsidRDefault="001A7840" w:rsidP="001A784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b/>
                <w:color w:val="000080"/>
                <w:sz w:val="24"/>
                <w:szCs w:val="24"/>
              </w:rPr>
              <w:t>System analysis</w:t>
            </w:r>
          </w:p>
        </w:tc>
        <w:tc>
          <w:tcPr>
            <w:tcW w:w="4277" w:type="pct"/>
            <w:tcBorders>
              <w:left w:val="single" w:sz="4" w:space="0" w:color="548DD4"/>
            </w:tcBorders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7840">
              <w:rPr>
                <w:rFonts w:ascii="Calibri" w:eastAsia="Times New Roman" w:hAnsi="Calibri" w:cs="Calibri"/>
                <w:sz w:val="24"/>
                <w:szCs w:val="24"/>
              </w:rPr>
              <w:t>Completely automated data collection and analysis process for the Health System Financing and expenditure, primary care and emergency care</w:t>
            </w:r>
          </w:p>
        </w:tc>
      </w:tr>
    </w:tbl>
    <w:p w:rsidR="001A7840" w:rsidRPr="001A7840" w:rsidRDefault="001A7840" w:rsidP="001A7840">
      <w:pPr>
        <w:keepNext/>
        <w:shd w:val="clear" w:color="auto" w:fill="E6E6E6"/>
        <w:spacing w:before="240" w:after="0" w:line="240" w:lineRule="auto"/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Languages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96"/>
        <w:gridCol w:w="2396"/>
        <w:gridCol w:w="2396"/>
        <w:gridCol w:w="2383"/>
      </w:tblGrid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sz w:val="21"/>
                <w:szCs w:val="19"/>
              </w:rPr>
            </w:pP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b/>
                <w:sz w:val="21"/>
                <w:szCs w:val="19"/>
              </w:rPr>
            </w:pPr>
            <w:r w:rsidRPr="001A7840">
              <w:rPr>
                <w:rFonts w:ascii="Calibri" w:eastAsia="Times New Roman" w:hAnsi="Calibri" w:cs="Times New Roman"/>
                <w:b/>
                <w:sz w:val="21"/>
                <w:szCs w:val="19"/>
              </w:rPr>
              <w:t>Speak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b/>
                <w:sz w:val="21"/>
                <w:szCs w:val="19"/>
              </w:rPr>
            </w:pPr>
            <w:r w:rsidRPr="001A7840">
              <w:rPr>
                <w:rFonts w:ascii="Calibri" w:eastAsia="Times New Roman" w:hAnsi="Calibri" w:cs="Times New Roman"/>
                <w:b/>
                <w:sz w:val="21"/>
                <w:szCs w:val="19"/>
              </w:rPr>
              <w:t>Read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120" w:line="240" w:lineRule="auto"/>
              <w:rPr>
                <w:rFonts w:ascii="Calibri" w:eastAsia="Times New Roman" w:hAnsi="Calibri" w:cs="Times New Roman"/>
                <w:b/>
                <w:sz w:val="21"/>
                <w:szCs w:val="19"/>
              </w:rPr>
            </w:pPr>
            <w:r w:rsidRPr="001A7840">
              <w:rPr>
                <w:rFonts w:ascii="Calibri" w:eastAsia="Times New Roman" w:hAnsi="Calibri" w:cs="Times New Roman"/>
                <w:b/>
                <w:sz w:val="21"/>
                <w:szCs w:val="19"/>
              </w:rPr>
              <w:t>Write</w:t>
            </w:r>
          </w:p>
        </w:tc>
      </w:tr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Georgian 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native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native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native</w:t>
            </w:r>
          </w:p>
        </w:tc>
      </w:tr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/>
                <w:sz w:val="24"/>
                <w:szCs w:val="24"/>
              </w:rPr>
              <w:t>English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good</w:t>
            </w:r>
          </w:p>
        </w:tc>
      </w:tr>
      <w:tr w:rsidR="001A7840" w:rsidRPr="001A7840" w:rsidTr="00471CA2"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b/>
                <w:sz w:val="24"/>
                <w:szCs w:val="24"/>
              </w:rPr>
              <w:t>Russian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96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excellent</w:t>
            </w:r>
          </w:p>
        </w:tc>
        <w:tc>
          <w:tcPr>
            <w:tcW w:w="2383" w:type="dxa"/>
          </w:tcPr>
          <w:p w:rsidR="001A7840" w:rsidRPr="001A7840" w:rsidRDefault="001A7840" w:rsidP="001A7840">
            <w:pPr>
              <w:keepLines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A7840">
              <w:rPr>
                <w:rFonts w:ascii="Calibri" w:eastAsia="Times New Roman" w:hAnsi="Calibri" w:cs="Times New Roman"/>
                <w:sz w:val="24"/>
                <w:szCs w:val="24"/>
              </w:rPr>
              <w:t>good</w:t>
            </w:r>
          </w:p>
        </w:tc>
      </w:tr>
    </w:tbl>
    <w:p w:rsidR="001A7840" w:rsidRPr="001A7840" w:rsidRDefault="001A7840" w:rsidP="001A7840">
      <w:pPr>
        <w:keepNext/>
        <w:shd w:val="clear" w:color="auto" w:fill="E6E6E6"/>
        <w:spacing w:before="240" w:after="0" w:line="240" w:lineRule="auto"/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840">
        <w:rPr>
          <w:rFonts w:ascii="Calibri" w:eastAsia="Times New Roman" w:hAnsi="Calibri" w:cs="Calibri"/>
          <w:b/>
          <w:color w:val="002060"/>
          <w:spacing w:val="40"/>
          <w:kern w:val="29"/>
          <w:sz w:val="2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References:</w:t>
      </w:r>
    </w:p>
    <w:p w:rsidR="001A7840" w:rsidRPr="001A7840" w:rsidRDefault="00B15E07" w:rsidP="001A7840">
      <w:p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Amiran Gamkrelidze</w:t>
      </w:r>
      <w:r w:rsidR="001A7840" w:rsidRPr="001A7840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, </w:t>
      </w:r>
      <w:r w:rsidR="001A7840" w:rsidRPr="00D3647E">
        <w:rPr>
          <w:rFonts w:ascii="Calibri" w:eastAsia="Times New Roman" w:hAnsi="Calibri" w:cs="Calibri"/>
          <w:sz w:val="24"/>
          <w:szCs w:val="24"/>
          <w:lang w:eastAsia="ru-RU"/>
        </w:rPr>
        <w:t>Director</w:t>
      </w:r>
      <w:r w:rsidR="001A7840" w:rsidRPr="001A7840">
        <w:rPr>
          <w:rFonts w:ascii="Calibri" w:eastAsia="Times New Roman" w:hAnsi="Calibri" w:cs="Calibri"/>
          <w:sz w:val="24"/>
          <w:szCs w:val="24"/>
          <w:lang w:eastAsia="ru-RU"/>
        </w:rPr>
        <w:t xml:space="preserve"> of the National Center for Diseases Control and Public Health</w:t>
      </w:r>
    </w:p>
    <w:p w:rsidR="001A7840" w:rsidRPr="001A7840" w:rsidRDefault="001A7840" w:rsidP="001A7840">
      <w:pPr>
        <w:keepNext/>
        <w:keepLines/>
        <w:spacing w:before="60" w:after="0" w:line="240" w:lineRule="auto"/>
        <w:rPr>
          <w:rFonts w:ascii="Calibri" w:eastAsia="Times New Roman" w:hAnsi="Calibri" w:cs="Times New Roman"/>
          <w:b/>
          <w:color w:val="000080"/>
          <w:sz w:val="24"/>
          <w:szCs w:val="24"/>
        </w:rPr>
      </w:pPr>
      <w:r w:rsidRPr="001A7840">
        <w:rPr>
          <w:rFonts w:ascii="Calibri" w:eastAsia="Times New Roman" w:hAnsi="Calibri" w:cs="Calibri"/>
          <w:b/>
          <w:color w:val="000080"/>
          <w:sz w:val="24"/>
          <w:szCs w:val="24"/>
        </w:rPr>
        <w:t xml:space="preserve">Email: </w:t>
      </w:r>
      <w:r w:rsidR="00B15E07">
        <w:rPr>
          <w:rFonts w:ascii="Calibri" w:eastAsia="Times New Roman" w:hAnsi="Calibri" w:cs="Calibri"/>
          <w:b/>
          <w:color w:val="000080"/>
          <w:sz w:val="24"/>
          <w:szCs w:val="24"/>
        </w:rPr>
        <w:t>a.gamkrelidze</w:t>
      </w:r>
      <w:r w:rsidRPr="001A7840">
        <w:rPr>
          <w:rFonts w:ascii="Calibri" w:eastAsia="Times New Roman" w:hAnsi="Calibri" w:cs="Calibri"/>
          <w:b/>
          <w:color w:val="000080"/>
          <w:sz w:val="24"/>
          <w:szCs w:val="24"/>
        </w:rPr>
        <w:t>@</w:t>
      </w:r>
      <w:r w:rsidR="00B15E07">
        <w:rPr>
          <w:rFonts w:ascii="Calibri" w:eastAsia="Times New Roman" w:hAnsi="Calibri" w:cs="Calibri"/>
          <w:b/>
          <w:color w:val="000080"/>
          <w:sz w:val="24"/>
          <w:szCs w:val="24"/>
        </w:rPr>
        <w:t>ncdc.ge</w:t>
      </w:r>
    </w:p>
    <w:p w:rsidR="00436A63" w:rsidRDefault="00436A63"/>
    <w:sectPr w:rsidR="00436A63" w:rsidSect="002535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3AC"/>
    <w:multiLevelType w:val="hybridMultilevel"/>
    <w:tmpl w:val="22FA56B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40"/>
    <w:rsid w:val="0000068E"/>
    <w:rsid w:val="00003CDA"/>
    <w:rsid w:val="0000666B"/>
    <w:rsid w:val="00006915"/>
    <w:rsid w:val="000108E1"/>
    <w:rsid w:val="0001125A"/>
    <w:rsid w:val="00013607"/>
    <w:rsid w:val="00013CC1"/>
    <w:rsid w:val="00014D6C"/>
    <w:rsid w:val="000158DC"/>
    <w:rsid w:val="00015A74"/>
    <w:rsid w:val="00017248"/>
    <w:rsid w:val="00020AE9"/>
    <w:rsid w:val="00022464"/>
    <w:rsid w:val="000275B1"/>
    <w:rsid w:val="00027B06"/>
    <w:rsid w:val="00027F62"/>
    <w:rsid w:val="000306A9"/>
    <w:rsid w:val="0003159B"/>
    <w:rsid w:val="00032D75"/>
    <w:rsid w:val="00033945"/>
    <w:rsid w:val="00033BBB"/>
    <w:rsid w:val="00033C58"/>
    <w:rsid w:val="00034E1D"/>
    <w:rsid w:val="0003513E"/>
    <w:rsid w:val="00035A49"/>
    <w:rsid w:val="000400D7"/>
    <w:rsid w:val="00040718"/>
    <w:rsid w:val="00041AC3"/>
    <w:rsid w:val="00041AFE"/>
    <w:rsid w:val="00042EFE"/>
    <w:rsid w:val="00044571"/>
    <w:rsid w:val="000448EE"/>
    <w:rsid w:val="000451DB"/>
    <w:rsid w:val="000454EE"/>
    <w:rsid w:val="00047C9C"/>
    <w:rsid w:val="000512FD"/>
    <w:rsid w:val="00052A21"/>
    <w:rsid w:val="00052AA3"/>
    <w:rsid w:val="00052F08"/>
    <w:rsid w:val="000531DD"/>
    <w:rsid w:val="0005624B"/>
    <w:rsid w:val="0005693B"/>
    <w:rsid w:val="00056BF2"/>
    <w:rsid w:val="00057745"/>
    <w:rsid w:val="000625E4"/>
    <w:rsid w:val="000626E3"/>
    <w:rsid w:val="00066440"/>
    <w:rsid w:val="00066556"/>
    <w:rsid w:val="000678A9"/>
    <w:rsid w:val="000714CE"/>
    <w:rsid w:val="00071884"/>
    <w:rsid w:val="0007209A"/>
    <w:rsid w:val="000739F0"/>
    <w:rsid w:val="00073EC9"/>
    <w:rsid w:val="00074B94"/>
    <w:rsid w:val="00081658"/>
    <w:rsid w:val="00084125"/>
    <w:rsid w:val="0008506E"/>
    <w:rsid w:val="00085097"/>
    <w:rsid w:val="00085443"/>
    <w:rsid w:val="00091549"/>
    <w:rsid w:val="000918AD"/>
    <w:rsid w:val="00093220"/>
    <w:rsid w:val="00093591"/>
    <w:rsid w:val="00094653"/>
    <w:rsid w:val="00094C68"/>
    <w:rsid w:val="0009563D"/>
    <w:rsid w:val="00097497"/>
    <w:rsid w:val="000A1E00"/>
    <w:rsid w:val="000A2F72"/>
    <w:rsid w:val="000A36FB"/>
    <w:rsid w:val="000A74D7"/>
    <w:rsid w:val="000B3BE2"/>
    <w:rsid w:val="000B49A3"/>
    <w:rsid w:val="000B4B66"/>
    <w:rsid w:val="000B53FF"/>
    <w:rsid w:val="000B5C12"/>
    <w:rsid w:val="000B7369"/>
    <w:rsid w:val="000B7E45"/>
    <w:rsid w:val="000C0536"/>
    <w:rsid w:val="000C1A4E"/>
    <w:rsid w:val="000C22D6"/>
    <w:rsid w:val="000C289B"/>
    <w:rsid w:val="000C41BF"/>
    <w:rsid w:val="000C42B6"/>
    <w:rsid w:val="000C4736"/>
    <w:rsid w:val="000C4A03"/>
    <w:rsid w:val="000C5D3B"/>
    <w:rsid w:val="000C7ECA"/>
    <w:rsid w:val="000D0AB5"/>
    <w:rsid w:val="000D1DC4"/>
    <w:rsid w:val="000D3478"/>
    <w:rsid w:val="000D5E00"/>
    <w:rsid w:val="000D6565"/>
    <w:rsid w:val="000D71DB"/>
    <w:rsid w:val="000D7671"/>
    <w:rsid w:val="000E357B"/>
    <w:rsid w:val="000E4325"/>
    <w:rsid w:val="000E49F0"/>
    <w:rsid w:val="000E635F"/>
    <w:rsid w:val="000E73F0"/>
    <w:rsid w:val="000E7837"/>
    <w:rsid w:val="000F046B"/>
    <w:rsid w:val="000F2C2B"/>
    <w:rsid w:val="000F4030"/>
    <w:rsid w:val="000F4E78"/>
    <w:rsid w:val="000F637D"/>
    <w:rsid w:val="000F7805"/>
    <w:rsid w:val="000F7D37"/>
    <w:rsid w:val="00100ABA"/>
    <w:rsid w:val="00100B47"/>
    <w:rsid w:val="00102FF9"/>
    <w:rsid w:val="001042F1"/>
    <w:rsid w:val="00105654"/>
    <w:rsid w:val="00107400"/>
    <w:rsid w:val="001076DD"/>
    <w:rsid w:val="00107790"/>
    <w:rsid w:val="00107980"/>
    <w:rsid w:val="001113C6"/>
    <w:rsid w:val="00111C8B"/>
    <w:rsid w:val="00112394"/>
    <w:rsid w:val="00115DBB"/>
    <w:rsid w:val="00115E04"/>
    <w:rsid w:val="00115F43"/>
    <w:rsid w:val="001170C5"/>
    <w:rsid w:val="00122B04"/>
    <w:rsid w:val="0012669F"/>
    <w:rsid w:val="0012752C"/>
    <w:rsid w:val="001319F0"/>
    <w:rsid w:val="0013422C"/>
    <w:rsid w:val="001375BF"/>
    <w:rsid w:val="001406B7"/>
    <w:rsid w:val="00141244"/>
    <w:rsid w:val="001424E7"/>
    <w:rsid w:val="0014297E"/>
    <w:rsid w:val="00142E2B"/>
    <w:rsid w:val="00142EED"/>
    <w:rsid w:val="00144950"/>
    <w:rsid w:val="00146989"/>
    <w:rsid w:val="001516EA"/>
    <w:rsid w:val="0015487E"/>
    <w:rsid w:val="00156A6A"/>
    <w:rsid w:val="00160CFE"/>
    <w:rsid w:val="00161094"/>
    <w:rsid w:val="00161911"/>
    <w:rsid w:val="00161C9B"/>
    <w:rsid w:val="00161D9F"/>
    <w:rsid w:val="001638EE"/>
    <w:rsid w:val="00165F28"/>
    <w:rsid w:val="00167932"/>
    <w:rsid w:val="0017065C"/>
    <w:rsid w:val="00171C1E"/>
    <w:rsid w:val="00171C27"/>
    <w:rsid w:val="00171F19"/>
    <w:rsid w:val="00172A05"/>
    <w:rsid w:val="00173299"/>
    <w:rsid w:val="00175C59"/>
    <w:rsid w:val="001763F9"/>
    <w:rsid w:val="00176693"/>
    <w:rsid w:val="00176E17"/>
    <w:rsid w:val="00180F2C"/>
    <w:rsid w:val="00180FD8"/>
    <w:rsid w:val="00181F0A"/>
    <w:rsid w:val="00183CBF"/>
    <w:rsid w:val="001847CF"/>
    <w:rsid w:val="00184F76"/>
    <w:rsid w:val="0018555F"/>
    <w:rsid w:val="00190839"/>
    <w:rsid w:val="0019084C"/>
    <w:rsid w:val="0019129F"/>
    <w:rsid w:val="00191F14"/>
    <w:rsid w:val="001931F7"/>
    <w:rsid w:val="00195D9D"/>
    <w:rsid w:val="001969B0"/>
    <w:rsid w:val="001A01E8"/>
    <w:rsid w:val="001A0BAE"/>
    <w:rsid w:val="001A1B76"/>
    <w:rsid w:val="001A29E3"/>
    <w:rsid w:val="001A7840"/>
    <w:rsid w:val="001A784D"/>
    <w:rsid w:val="001B0913"/>
    <w:rsid w:val="001B33EE"/>
    <w:rsid w:val="001B3907"/>
    <w:rsid w:val="001B39DF"/>
    <w:rsid w:val="001B3C61"/>
    <w:rsid w:val="001B583A"/>
    <w:rsid w:val="001B584E"/>
    <w:rsid w:val="001B5D13"/>
    <w:rsid w:val="001B5EB9"/>
    <w:rsid w:val="001C21D2"/>
    <w:rsid w:val="001C44E8"/>
    <w:rsid w:val="001C46A1"/>
    <w:rsid w:val="001C602C"/>
    <w:rsid w:val="001C6404"/>
    <w:rsid w:val="001C66EC"/>
    <w:rsid w:val="001C7C3C"/>
    <w:rsid w:val="001C7D1A"/>
    <w:rsid w:val="001D175B"/>
    <w:rsid w:val="001D3DEB"/>
    <w:rsid w:val="001D4188"/>
    <w:rsid w:val="001E7E61"/>
    <w:rsid w:val="001F2930"/>
    <w:rsid w:val="001F3A91"/>
    <w:rsid w:val="001F3EA9"/>
    <w:rsid w:val="001F418C"/>
    <w:rsid w:val="001F42A8"/>
    <w:rsid w:val="001F43E8"/>
    <w:rsid w:val="001F4D31"/>
    <w:rsid w:val="001F6998"/>
    <w:rsid w:val="001F6E1A"/>
    <w:rsid w:val="0020027F"/>
    <w:rsid w:val="00200DE2"/>
    <w:rsid w:val="002015C6"/>
    <w:rsid w:val="00201CE9"/>
    <w:rsid w:val="00203322"/>
    <w:rsid w:val="00203DFF"/>
    <w:rsid w:val="002045D8"/>
    <w:rsid w:val="00204DA7"/>
    <w:rsid w:val="00204DAF"/>
    <w:rsid w:val="002050AB"/>
    <w:rsid w:val="0020547C"/>
    <w:rsid w:val="002061C5"/>
    <w:rsid w:val="00206709"/>
    <w:rsid w:val="00206F67"/>
    <w:rsid w:val="00211A96"/>
    <w:rsid w:val="002131E5"/>
    <w:rsid w:val="00216145"/>
    <w:rsid w:val="00216FF9"/>
    <w:rsid w:val="00220D42"/>
    <w:rsid w:val="00220D95"/>
    <w:rsid w:val="00221DAF"/>
    <w:rsid w:val="00221FDD"/>
    <w:rsid w:val="002238FA"/>
    <w:rsid w:val="00225D15"/>
    <w:rsid w:val="00225FF2"/>
    <w:rsid w:val="00230754"/>
    <w:rsid w:val="00230ED1"/>
    <w:rsid w:val="002318D6"/>
    <w:rsid w:val="00231E99"/>
    <w:rsid w:val="0023279D"/>
    <w:rsid w:val="00232D9D"/>
    <w:rsid w:val="00233CBC"/>
    <w:rsid w:val="002346B1"/>
    <w:rsid w:val="00237683"/>
    <w:rsid w:val="00237A0C"/>
    <w:rsid w:val="002401E7"/>
    <w:rsid w:val="00241456"/>
    <w:rsid w:val="002419CC"/>
    <w:rsid w:val="002425A2"/>
    <w:rsid w:val="0024329A"/>
    <w:rsid w:val="002436C7"/>
    <w:rsid w:val="00244252"/>
    <w:rsid w:val="00244390"/>
    <w:rsid w:val="0024472C"/>
    <w:rsid w:val="0024606B"/>
    <w:rsid w:val="00247CC6"/>
    <w:rsid w:val="00256485"/>
    <w:rsid w:val="002608C4"/>
    <w:rsid w:val="00261649"/>
    <w:rsid w:val="00262A64"/>
    <w:rsid w:val="00263240"/>
    <w:rsid w:val="002644F5"/>
    <w:rsid w:val="002679EA"/>
    <w:rsid w:val="00272B63"/>
    <w:rsid w:val="0027310E"/>
    <w:rsid w:val="00273701"/>
    <w:rsid w:val="00273F5E"/>
    <w:rsid w:val="002748A4"/>
    <w:rsid w:val="002754DF"/>
    <w:rsid w:val="00276A60"/>
    <w:rsid w:val="002776A3"/>
    <w:rsid w:val="00285C6D"/>
    <w:rsid w:val="00291852"/>
    <w:rsid w:val="00293F9B"/>
    <w:rsid w:val="002965AF"/>
    <w:rsid w:val="0029769B"/>
    <w:rsid w:val="002A0764"/>
    <w:rsid w:val="002A114A"/>
    <w:rsid w:val="002A1795"/>
    <w:rsid w:val="002A2045"/>
    <w:rsid w:val="002A3527"/>
    <w:rsid w:val="002A4F26"/>
    <w:rsid w:val="002A7614"/>
    <w:rsid w:val="002A7799"/>
    <w:rsid w:val="002A7A32"/>
    <w:rsid w:val="002B2167"/>
    <w:rsid w:val="002C0FC4"/>
    <w:rsid w:val="002C2CD0"/>
    <w:rsid w:val="002C3570"/>
    <w:rsid w:val="002C4384"/>
    <w:rsid w:val="002C5D18"/>
    <w:rsid w:val="002C5D46"/>
    <w:rsid w:val="002C7CA7"/>
    <w:rsid w:val="002D1DF5"/>
    <w:rsid w:val="002D3C8F"/>
    <w:rsid w:val="002D4042"/>
    <w:rsid w:val="002D45A6"/>
    <w:rsid w:val="002D69D0"/>
    <w:rsid w:val="002E0123"/>
    <w:rsid w:val="002E0312"/>
    <w:rsid w:val="002E0E11"/>
    <w:rsid w:val="002E0EF8"/>
    <w:rsid w:val="002E13C0"/>
    <w:rsid w:val="002E2586"/>
    <w:rsid w:val="002E34B1"/>
    <w:rsid w:val="002E4C95"/>
    <w:rsid w:val="002E4CC5"/>
    <w:rsid w:val="002E6A12"/>
    <w:rsid w:val="002F01F3"/>
    <w:rsid w:val="002F0327"/>
    <w:rsid w:val="002F1967"/>
    <w:rsid w:val="002F1CBE"/>
    <w:rsid w:val="002F2038"/>
    <w:rsid w:val="002F2F2C"/>
    <w:rsid w:val="002F37B4"/>
    <w:rsid w:val="002F3812"/>
    <w:rsid w:val="002F40AF"/>
    <w:rsid w:val="002F4564"/>
    <w:rsid w:val="00300AFD"/>
    <w:rsid w:val="00301186"/>
    <w:rsid w:val="00301FE2"/>
    <w:rsid w:val="00304AF6"/>
    <w:rsid w:val="0030524D"/>
    <w:rsid w:val="00305A8A"/>
    <w:rsid w:val="003067D2"/>
    <w:rsid w:val="00306954"/>
    <w:rsid w:val="00310F7F"/>
    <w:rsid w:val="003112D1"/>
    <w:rsid w:val="00311D7E"/>
    <w:rsid w:val="00312071"/>
    <w:rsid w:val="00313790"/>
    <w:rsid w:val="0031424A"/>
    <w:rsid w:val="003158DD"/>
    <w:rsid w:val="00320AA7"/>
    <w:rsid w:val="00320F15"/>
    <w:rsid w:val="00322E55"/>
    <w:rsid w:val="00333203"/>
    <w:rsid w:val="00336975"/>
    <w:rsid w:val="00341AAB"/>
    <w:rsid w:val="00343B4A"/>
    <w:rsid w:val="00345A26"/>
    <w:rsid w:val="003505F9"/>
    <w:rsid w:val="00351A71"/>
    <w:rsid w:val="0035391C"/>
    <w:rsid w:val="00354530"/>
    <w:rsid w:val="00356C6A"/>
    <w:rsid w:val="00356F7D"/>
    <w:rsid w:val="0035786C"/>
    <w:rsid w:val="003600A5"/>
    <w:rsid w:val="00360F10"/>
    <w:rsid w:val="00361855"/>
    <w:rsid w:val="003634BF"/>
    <w:rsid w:val="0036449C"/>
    <w:rsid w:val="0036543C"/>
    <w:rsid w:val="00366F59"/>
    <w:rsid w:val="003678A5"/>
    <w:rsid w:val="003679C9"/>
    <w:rsid w:val="0037072C"/>
    <w:rsid w:val="003715B8"/>
    <w:rsid w:val="003732A5"/>
    <w:rsid w:val="00373AA9"/>
    <w:rsid w:val="00374455"/>
    <w:rsid w:val="003810EA"/>
    <w:rsid w:val="00382F78"/>
    <w:rsid w:val="003852AF"/>
    <w:rsid w:val="00385E04"/>
    <w:rsid w:val="003861F0"/>
    <w:rsid w:val="0038794F"/>
    <w:rsid w:val="00391D40"/>
    <w:rsid w:val="00393144"/>
    <w:rsid w:val="0039333D"/>
    <w:rsid w:val="0039472A"/>
    <w:rsid w:val="003A122B"/>
    <w:rsid w:val="003A1F1C"/>
    <w:rsid w:val="003A271A"/>
    <w:rsid w:val="003A3231"/>
    <w:rsid w:val="003A33FF"/>
    <w:rsid w:val="003A360E"/>
    <w:rsid w:val="003A4D13"/>
    <w:rsid w:val="003A6908"/>
    <w:rsid w:val="003A6D77"/>
    <w:rsid w:val="003B1748"/>
    <w:rsid w:val="003B39C5"/>
    <w:rsid w:val="003B41E7"/>
    <w:rsid w:val="003B4C8E"/>
    <w:rsid w:val="003B6DF4"/>
    <w:rsid w:val="003C0DBB"/>
    <w:rsid w:val="003C1086"/>
    <w:rsid w:val="003C16E0"/>
    <w:rsid w:val="003C18ED"/>
    <w:rsid w:val="003C3ACF"/>
    <w:rsid w:val="003C4E91"/>
    <w:rsid w:val="003C561B"/>
    <w:rsid w:val="003C579D"/>
    <w:rsid w:val="003C6D26"/>
    <w:rsid w:val="003C76CC"/>
    <w:rsid w:val="003D00ED"/>
    <w:rsid w:val="003D17F9"/>
    <w:rsid w:val="003D2427"/>
    <w:rsid w:val="003D4374"/>
    <w:rsid w:val="003D43E3"/>
    <w:rsid w:val="003D6D27"/>
    <w:rsid w:val="003E1017"/>
    <w:rsid w:val="003E29F9"/>
    <w:rsid w:val="003E2B81"/>
    <w:rsid w:val="003E38EE"/>
    <w:rsid w:val="003E3B25"/>
    <w:rsid w:val="003E4DB6"/>
    <w:rsid w:val="003E5272"/>
    <w:rsid w:val="003E5A4C"/>
    <w:rsid w:val="003E5D8E"/>
    <w:rsid w:val="003E7D06"/>
    <w:rsid w:val="003F05A3"/>
    <w:rsid w:val="003F0B39"/>
    <w:rsid w:val="003F0F55"/>
    <w:rsid w:val="003F12FD"/>
    <w:rsid w:val="003F1A98"/>
    <w:rsid w:val="003F1E0E"/>
    <w:rsid w:val="003F382A"/>
    <w:rsid w:val="003F558F"/>
    <w:rsid w:val="003F7DBA"/>
    <w:rsid w:val="004014D6"/>
    <w:rsid w:val="004029F4"/>
    <w:rsid w:val="00403FE8"/>
    <w:rsid w:val="004052E3"/>
    <w:rsid w:val="004064B3"/>
    <w:rsid w:val="004064F7"/>
    <w:rsid w:val="00410066"/>
    <w:rsid w:val="004108B5"/>
    <w:rsid w:val="00410F04"/>
    <w:rsid w:val="00411F10"/>
    <w:rsid w:val="004132B4"/>
    <w:rsid w:val="00414E31"/>
    <w:rsid w:val="004159F0"/>
    <w:rsid w:val="00415D2F"/>
    <w:rsid w:val="00416C7D"/>
    <w:rsid w:val="004216CF"/>
    <w:rsid w:val="00425AD0"/>
    <w:rsid w:val="004264C6"/>
    <w:rsid w:val="0042723D"/>
    <w:rsid w:val="00427F1E"/>
    <w:rsid w:val="00430DBB"/>
    <w:rsid w:val="00430EF6"/>
    <w:rsid w:val="004316EE"/>
    <w:rsid w:val="00431ABD"/>
    <w:rsid w:val="00431B11"/>
    <w:rsid w:val="00431D4F"/>
    <w:rsid w:val="00431E66"/>
    <w:rsid w:val="00432CCE"/>
    <w:rsid w:val="00433492"/>
    <w:rsid w:val="00434BE3"/>
    <w:rsid w:val="00436A63"/>
    <w:rsid w:val="00440DAA"/>
    <w:rsid w:val="0044312B"/>
    <w:rsid w:val="004434AC"/>
    <w:rsid w:val="004435FE"/>
    <w:rsid w:val="00443A08"/>
    <w:rsid w:val="00443DD0"/>
    <w:rsid w:val="004454AE"/>
    <w:rsid w:val="0044703B"/>
    <w:rsid w:val="00447D67"/>
    <w:rsid w:val="00452797"/>
    <w:rsid w:val="004541BE"/>
    <w:rsid w:val="00454661"/>
    <w:rsid w:val="00454B94"/>
    <w:rsid w:val="00454DA8"/>
    <w:rsid w:val="004550BD"/>
    <w:rsid w:val="00455104"/>
    <w:rsid w:val="00457C41"/>
    <w:rsid w:val="00462253"/>
    <w:rsid w:val="004630B8"/>
    <w:rsid w:val="00463916"/>
    <w:rsid w:val="0046406B"/>
    <w:rsid w:val="004643BF"/>
    <w:rsid w:val="00464812"/>
    <w:rsid w:val="00464C80"/>
    <w:rsid w:val="00465830"/>
    <w:rsid w:val="004679F1"/>
    <w:rsid w:val="00470831"/>
    <w:rsid w:val="0047359B"/>
    <w:rsid w:val="00473C21"/>
    <w:rsid w:val="00474BD3"/>
    <w:rsid w:val="0047541F"/>
    <w:rsid w:val="0047569B"/>
    <w:rsid w:val="00476528"/>
    <w:rsid w:val="004767B0"/>
    <w:rsid w:val="00476A44"/>
    <w:rsid w:val="00480117"/>
    <w:rsid w:val="0048093A"/>
    <w:rsid w:val="00480D29"/>
    <w:rsid w:val="00480DEC"/>
    <w:rsid w:val="00483765"/>
    <w:rsid w:val="00483D7D"/>
    <w:rsid w:val="004848F8"/>
    <w:rsid w:val="00485165"/>
    <w:rsid w:val="004913B3"/>
    <w:rsid w:val="00492430"/>
    <w:rsid w:val="0049290B"/>
    <w:rsid w:val="00495742"/>
    <w:rsid w:val="004A0278"/>
    <w:rsid w:val="004A08AC"/>
    <w:rsid w:val="004A0C66"/>
    <w:rsid w:val="004A10C5"/>
    <w:rsid w:val="004A12D3"/>
    <w:rsid w:val="004A144B"/>
    <w:rsid w:val="004A1613"/>
    <w:rsid w:val="004A1E91"/>
    <w:rsid w:val="004A1FA9"/>
    <w:rsid w:val="004A2EB3"/>
    <w:rsid w:val="004A318A"/>
    <w:rsid w:val="004A3539"/>
    <w:rsid w:val="004A5B6D"/>
    <w:rsid w:val="004A64DD"/>
    <w:rsid w:val="004A7DAB"/>
    <w:rsid w:val="004B4198"/>
    <w:rsid w:val="004B551A"/>
    <w:rsid w:val="004B79FD"/>
    <w:rsid w:val="004B7F57"/>
    <w:rsid w:val="004C135C"/>
    <w:rsid w:val="004C179E"/>
    <w:rsid w:val="004C2AAC"/>
    <w:rsid w:val="004C38A2"/>
    <w:rsid w:val="004C4759"/>
    <w:rsid w:val="004C4F55"/>
    <w:rsid w:val="004C55B1"/>
    <w:rsid w:val="004C5822"/>
    <w:rsid w:val="004C695B"/>
    <w:rsid w:val="004D0E28"/>
    <w:rsid w:val="004D1214"/>
    <w:rsid w:val="004D13E1"/>
    <w:rsid w:val="004D2FFF"/>
    <w:rsid w:val="004D4760"/>
    <w:rsid w:val="004D49D3"/>
    <w:rsid w:val="004D7529"/>
    <w:rsid w:val="004E1A05"/>
    <w:rsid w:val="004E3137"/>
    <w:rsid w:val="004E5C0E"/>
    <w:rsid w:val="004E6B0B"/>
    <w:rsid w:val="004E7B09"/>
    <w:rsid w:val="004F00CD"/>
    <w:rsid w:val="004F08C4"/>
    <w:rsid w:val="004F0BD4"/>
    <w:rsid w:val="004F1083"/>
    <w:rsid w:val="004F1DA5"/>
    <w:rsid w:val="004F2BF3"/>
    <w:rsid w:val="004F4842"/>
    <w:rsid w:val="004F5754"/>
    <w:rsid w:val="004F588D"/>
    <w:rsid w:val="004F6BD4"/>
    <w:rsid w:val="004F74DA"/>
    <w:rsid w:val="00501D1C"/>
    <w:rsid w:val="00501D25"/>
    <w:rsid w:val="0050260D"/>
    <w:rsid w:val="00502BCD"/>
    <w:rsid w:val="00503B18"/>
    <w:rsid w:val="0050546E"/>
    <w:rsid w:val="005074ED"/>
    <w:rsid w:val="0050757E"/>
    <w:rsid w:val="00510359"/>
    <w:rsid w:val="005111B4"/>
    <w:rsid w:val="00511B68"/>
    <w:rsid w:val="00511F32"/>
    <w:rsid w:val="00512179"/>
    <w:rsid w:val="0051315E"/>
    <w:rsid w:val="00513FAA"/>
    <w:rsid w:val="005141FF"/>
    <w:rsid w:val="00517152"/>
    <w:rsid w:val="0052004B"/>
    <w:rsid w:val="005202C4"/>
    <w:rsid w:val="00521718"/>
    <w:rsid w:val="00521C2B"/>
    <w:rsid w:val="005232CF"/>
    <w:rsid w:val="00525B31"/>
    <w:rsid w:val="00526556"/>
    <w:rsid w:val="00526B00"/>
    <w:rsid w:val="00527A67"/>
    <w:rsid w:val="00530049"/>
    <w:rsid w:val="005310B9"/>
    <w:rsid w:val="00531327"/>
    <w:rsid w:val="005342E8"/>
    <w:rsid w:val="0053558E"/>
    <w:rsid w:val="00536695"/>
    <w:rsid w:val="0053691F"/>
    <w:rsid w:val="00536983"/>
    <w:rsid w:val="00536C83"/>
    <w:rsid w:val="005373D1"/>
    <w:rsid w:val="00537787"/>
    <w:rsid w:val="00540151"/>
    <w:rsid w:val="005403E1"/>
    <w:rsid w:val="00540948"/>
    <w:rsid w:val="005420A7"/>
    <w:rsid w:val="00544792"/>
    <w:rsid w:val="00545096"/>
    <w:rsid w:val="00547519"/>
    <w:rsid w:val="00547D33"/>
    <w:rsid w:val="00552269"/>
    <w:rsid w:val="00553151"/>
    <w:rsid w:val="0055539C"/>
    <w:rsid w:val="005559BD"/>
    <w:rsid w:val="00556F87"/>
    <w:rsid w:val="00557350"/>
    <w:rsid w:val="005574A8"/>
    <w:rsid w:val="005604FD"/>
    <w:rsid w:val="0056168E"/>
    <w:rsid w:val="005616CF"/>
    <w:rsid w:val="005620CB"/>
    <w:rsid w:val="00563780"/>
    <w:rsid w:val="0056447A"/>
    <w:rsid w:val="00564A11"/>
    <w:rsid w:val="00564E69"/>
    <w:rsid w:val="0056617C"/>
    <w:rsid w:val="005669F6"/>
    <w:rsid w:val="00571EE4"/>
    <w:rsid w:val="00572677"/>
    <w:rsid w:val="005751EA"/>
    <w:rsid w:val="0057667A"/>
    <w:rsid w:val="00580361"/>
    <w:rsid w:val="00580DF2"/>
    <w:rsid w:val="00582753"/>
    <w:rsid w:val="00586449"/>
    <w:rsid w:val="00587D8F"/>
    <w:rsid w:val="00592418"/>
    <w:rsid w:val="00592A54"/>
    <w:rsid w:val="00592F27"/>
    <w:rsid w:val="0059647D"/>
    <w:rsid w:val="005966B7"/>
    <w:rsid w:val="00597806"/>
    <w:rsid w:val="005A3194"/>
    <w:rsid w:val="005A37FC"/>
    <w:rsid w:val="005A3A76"/>
    <w:rsid w:val="005A4799"/>
    <w:rsid w:val="005A47A0"/>
    <w:rsid w:val="005A67F8"/>
    <w:rsid w:val="005A7325"/>
    <w:rsid w:val="005A790B"/>
    <w:rsid w:val="005A7BED"/>
    <w:rsid w:val="005B1010"/>
    <w:rsid w:val="005B33FB"/>
    <w:rsid w:val="005B4C8A"/>
    <w:rsid w:val="005B589A"/>
    <w:rsid w:val="005B6A33"/>
    <w:rsid w:val="005B72DF"/>
    <w:rsid w:val="005B74B6"/>
    <w:rsid w:val="005B7D2C"/>
    <w:rsid w:val="005C019E"/>
    <w:rsid w:val="005C062B"/>
    <w:rsid w:val="005C532F"/>
    <w:rsid w:val="005C7DD5"/>
    <w:rsid w:val="005D0BEB"/>
    <w:rsid w:val="005D209A"/>
    <w:rsid w:val="005D4100"/>
    <w:rsid w:val="005D4DBC"/>
    <w:rsid w:val="005D4E87"/>
    <w:rsid w:val="005D67B1"/>
    <w:rsid w:val="005E005A"/>
    <w:rsid w:val="005E10D2"/>
    <w:rsid w:val="005E1A6F"/>
    <w:rsid w:val="005E4419"/>
    <w:rsid w:val="005E5A08"/>
    <w:rsid w:val="005E5C9F"/>
    <w:rsid w:val="005E6BD1"/>
    <w:rsid w:val="005E7C5D"/>
    <w:rsid w:val="005F0B3B"/>
    <w:rsid w:val="005F0F9F"/>
    <w:rsid w:val="005F1D06"/>
    <w:rsid w:val="005F2C5E"/>
    <w:rsid w:val="005F795C"/>
    <w:rsid w:val="0060081D"/>
    <w:rsid w:val="00600E41"/>
    <w:rsid w:val="00601DF2"/>
    <w:rsid w:val="00604AAC"/>
    <w:rsid w:val="00605095"/>
    <w:rsid w:val="006054C7"/>
    <w:rsid w:val="006075CD"/>
    <w:rsid w:val="006079EC"/>
    <w:rsid w:val="0061051E"/>
    <w:rsid w:val="00610FF5"/>
    <w:rsid w:val="00611A62"/>
    <w:rsid w:val="0061241B"/>
    <w:rsid w:val="00613348"/>
    <w:rsid w:val="00614246"/>
    <w:rsid w:val="00614F22"/>
    <w:rsid w:val="00615B48"/>
    <w:rsid w:val="00617AC7"/>
    <w:rsid w:val="00617B64"/>
    <w:rsid w:val="006244CE"/>
    <w:rsid w:val="00625322"/>
    <w:rsid w:val="0062552E"/>
    <w:rsid w:val="00627D53"/>
    <w:rsid w:val="0063152A"/>
    <w:rsid w:val="00632689"/>
    <w:rsid w:val="00632F1F"/>
    <w:rsid w:val="0063346B"/>
    <w:rsid w:val="00634014"/>
    <w:rsid w:val="00634B9C"/>
    <w:rsid w:val="00637518"/>
    <w:rsid w:val="00640737"/>
    <w:rsid w:val="00642104"/>
    <w:rsid w:val="00646AF2"/>
    <w:rsid w:val="00647CF8"/>
    <w:rsid w:val="0065231E"/>
    <w:rsid w:val="00653ADE"/>
    <w:rsid w:val="00654187"/>
    <w:rsid w:val="00654593"/>
    <w:rsid w:val="00654B71"/>
    <w:rsid w:val="00654CF8"/>
    <w:rsid w:val="00655292"/>
    <w:rsid w:val="00655384"/>
    <w:rsid w:val="0065569B"/>
    <w:rsid w:val="00657215"/>
    <w:rsid w:val="00657939"/>
    <w:rsid w:val="00660075"/>
    <w:rsid w:val="00662EAE"/>
    <w:rsid w:val="0066307E"/>
    <w:rsid w:val="00665481"/>
    <w:rsid w:val="006720CE"/>
    <w:rsid w:val="00677D4B"/>
    <w:rsid w:val="006801F2"/>
    <w:rsid w:val="00680342"/>
    <w:rsid w:val="00681AFD"/>
    <w:rsid w:val="00682016"/>
    <w:rsid w:val="00686089"/>
    <w:rsid w:val="006905AD"/>
    <w:rsid w:val="00691029"/>
    <w:rsid w:val="00695F1A"/>
    <w:rsid w:val="006A036C"/>
    <w:rsid w:val="006A1160"/>
    <w:rsid w:val="006A116B"/>
    <w:rsid w:val="006A316D"/>
    <w:rsid w:val="006A371E"/>
    <w:rsid w:val="006A4445"/>
    <w:rsid w:val="006A6DCE"/>
    <w:rsid w:val="006B0077"/>
    <w:rsid w:val="006B1D9F"/>
    <w:rsid w:val="006B1E2D"/>
    <w:rsid w:val="006B5B58"/>
    <w:rsid w:val="006B5E4A"/>
    <w:rsid w:val="006B764A"/>
    <w:rsid w:val="006C023B"/>
    <w:rsid w:val="006C02BD"/>
    <w:rsid w:val="006C6223"/>
    <w:rsid w:val="006D0852"/>
    <w:rsid w:val="006D2439"/>
    <w:rsid w:val="006D2D15"/>
    <w:rsid w:val="006D6AD5"/>
    <w:rsid w:val="006E1387"/>
    <w:rsid w:val="006E4244"/>
    <w:rsid w:val="006E6026"/>
    <w:rsid w:val="006E604F"/>
    <w:rsid w:val="006E6081"/>
    <w:rsid w:val="006E64E7"/>
    <w:rsid w:val="006E66DA"/>
    <w:rsid w:val="006E6786"/>
    <w:rsid w:val="006E761C"/>
    <w:rsid w:val="006F64E8"/>
    <w:rsid w:val="006F6509"/>
    <w:rsid w:val="0070243F"/>
    <w:rsid w:val="00704518"/>
    <w:rsid w:val="00704931"/>
    <w:rsid w:val="0070592E"/>
    <w:rsid w:val="007069EB"/>
    <w:rsid w:val="00707225"/>
    <w:rsid w:val="00707815"/>
    <w:rsid w:val="0071198F"/>
    <w:rsid w:val="00711D06"/>
    <w:rsid w:val="00712507"/>
    <w:rsid w:val="00712B1B"/>
    <w:rsid w:val="00716085"/>
    <w:rsid w:val="007174BB"/>
    <w:rsid w:val="007179F8"/>
    <w:rsid w:val="00717EB5"/>
    <w:rsid w:val="00721574"/>
    <w:rsid w:val="00722B53"/>
    <w:rsid w:val="007240E1"/>
    <w:rsid w:val="007258B0"/>
    <w:rsid w:val="007260FA"/>
    <w:rsid w:val="007261DD"/>
    <w:rsid w:val="00726BB7"/>
    <w:rsid w:val="00730B35"/>
    <w:rsid w:val="00730C88"/>
    <w:rsid w:val="0073182A"/>
    <w:rsid w:val="007332AB"/>
    <w:rsid w:val="00733F01"/>
    <w:rsid w:val="00733F13"/>
    <w:rsid w:val="00734B70"/>
    <w:rsid w:val="00735DAF"/>
    <w:rsid w:val="00736A4D"/>
    <w:rsid w:val="00741B39"/>
    <w:rsid w:val="00742323"/>
    <w:rsid w:val="00742B8B"/>
    <w:rsid w:val="00743595"/>
    <w:rsid w:val="00746235"/>
    <w:rsid w:val="007515B8"/>
    <w:rsid w:val="00751E2A"/>
    <w:rsid w:val="007527EE"/>
    <w:rsid w:val="00753769"/>
    <w:rsid w:val="007542E9"/>
    <w:rsid w:val="00754599"/>
    <w:rsid w:val="00756147"/>
    <w:rsid w:val="00757B03"/>
    <w:rsid w:val="00760551"/>
    <w:rsid w:val="0076070E"/>
    <w:rsid w:val="00760862"/>
    <w:rsid w:val="00760A91"/>
    <w:rsid w:val="00761818"/>
    <w:rsid w:val="007629D3"/>
    <w:rsid w:val="007648AD"/>
    <w:rsid w:val="00765872"/>
    <w:rsid w:val="0077305E"/>
    <w:rsid w:val="00773821"/>
    <w:rsid w:val="007744F4"/>
    <w:rsid w:val="007748A1"/>
    <w:rsid w:val="00775C03"/>
    <w:rsid w:val="00776B15"/>
    <w:rsid w:val="00777FDD"/>
    <w:rsid w:val="007812E3"/>
    <w:rsid w:val="00783853"/>
    <w:rsid w:val="00784806"/>
    <w:rsid w:val="00784F2D"/>
    <w:rsid w:val="00784F86"/>
    <w:rsid w:val="007857F2"/>
    <w:rsid w:val="00787967"/>
    <w:rsid w:val="00787E45"/>
    <w:rsid w:val="00790E8C"/>
    <w:rsid w:val="00792AAA"/>
    <w:rsid w:val="00792F24"/>
    <w:rsid w:val="00795672"/>
    <w:rsid w:val="007964D4"/>
    <w:rsid w:val="00796E6B"/>
    <w:rsid w:val="00797BDB"/>
    <w:rsid w:val="00797F03"/>
    <w:rsid w:val="007A0580"/>
    <w:rsid w:val="007A2AB5"/>
    <w:rsid w:val="007A2D58"/>
    <w:rsid w:val="007A38CA"/>
    <w:rsid w:val="007A4396"/>
    <w:rsid w:val="007A4B1B"/>
    <w:rsid w:val="007A54D3"/>
    <w:rsid w:val="007A6034"/>
    <w:rsid w:val="007A7AB6"/>
    <w:rsid w:val="007B5B49"/>
    <w:rsid w:val="007B727C"/>
    <w:rsid w:val="007C05D4"/>
    <w:rsid w:val="007C1B80"/>
    <w:rsid w:val="007C2182"/>
    <w:rsid w:val="007C21B7"/>
    <w:rsid w:val="007C2547"/>
    <w:rsid w:val="007C2C40"/>
    <w:rsid w:val="007C2DF0"/>
    <w:rsid w:val="007C3FCE"/>
    <w:rsid w:val="007C4DBF"/>
    <w:rsid w:val="007C695B"/>
    <w:rsid w:val="007C6BCC"/>
    <w:rsid w:val="007C7A08"/>
    <w:rsid w:val="007C7C37"/>
    <w:rsid w:val="007D2926"/>
    <w:rsid w:val="007D432F"/>
    <w:rsid w:val="007D5A8B"/>
    <w:rsid w:val="007D66CD"/>
    <w:rsid w:val="007D6835"/>
    <w:rsid w:val="007E0B64"/>
    <w:rsid w:val="007E1665"/>
    <w:rsid w:val="007E1B54"/>
    <w:rsid w:val="007E2453"/>
    <w:rsid w:val="007E2CD6"/>
    <w:rsid w:val="007E4C97"/>
    <w:rsid w:val="007F066E"/>
    <w:rsid w:val="007F0785"/>
    <w:rsid w:val="007F081E"/>
    <w:rsid w:val="007F130B"/>
    <w:rsid w:val="007F2678"/>
    <w:rsid w:val="007F2DBE"/>
    <w:rsid w:val="007F5A4F"/>
    <w:rsid w:val="007F5F70"/>
    <w:rsid w:val="007F6CE8"/>
    <w:rsid w:val="007F7136"/>
    <w:rsid w:val="00800536"/>
    <w:rsid w:val="00802684"/>
    <w:rsid w:val="008038B5"/>
    <w:rsid w:val="00805079"/>
    <w:rsid w:val="008078AF"/>
    <w:rsid w:val="00807970"/>
    <w:rsid w:val="00810BB9"/>
    <w:rsid w:val="00813D20"/>
    <w:rsid w:val="008144AC"/>
    <w:rsid w:val="00815A62"/>
    <w:rsid w:val="00816AE1"/>
    <w:rsid w:val="008170D4"/>
    <w:rsid w:val="00820F90"/>
    <w:rsid w:val="00821196"/>
    <w:rsid w:val="0082401C"/>
    <w:rsid w:val="00824730"/>
    <w:rsid w:val="00824953"/>
    <w:rsid w:val="00825130"/>
    <w:rsid w:val="008256D1"/>
    <w:rsid w:val="008257F0"/>
    <w:rsid w:val="00827503"/>
    <w:rsid w:val="008306E7"/>
    <w:rsid w:val="00830B05"/>
    <w:rsid w:val="00831B2A"/>
    <w:rsid w:val="00832935"/>
    <w:rsid w:val="00841A4D"/>
    <w:rsid w:val="008424C4"/>
    <w:rsid w:val="00842A20"/>
    <w:rsid w:val="00842D74"/>
    <w:rsid w:val="008446EE"/>
    <w:rsid w:val="00844CEE"/>
    <w:rsid w:val="00845524"/>
    <w:rsid w:val="0085064A"/>
    <w:rsid w:val="00850D73"/>
    <w:rsid w:val="008510B1"/>
    <w:rsid w:val="00851210"/>
    <w:rsid w:val="00851371"/>
    <w:rsid w:val="00851A0B"/>
    <w:rsid w:val="008523CE"/>
    <w:rsid w:val="00852979"/>
    <w:rsid w:val="00855D12"/>
    <w:rsid w:val="00855F3A"/>
    <w:rsid w:val="00857203"/>
    <w:rsid w:val="0086089F"/>
    <w:rsid w:val="00861CC7"/>
    <w:rsid w:val="00862525"/>
    <w:rsid w:val="0086342A"/>
    <w:rsid w:val="008640DF"/>
    <w:rsid w:val="00866390"/>
    <w:rsid w:val="00867822"/>
    <w:rsid w:val="0087092A"/>
    <w:rsid w:val="008717D5"/>
    <w:rsid w:val="00871BF6"/>
    <w:rsid w:val="00871E44"/>
    <w:rsid w:val="0087382E"/>
    <w:rsid w:val="008738B0"/>
    <w:rsid w:val="008756DD"/>
    <w:rsid w:val="00880318"/>
    <w:rsid w:val="00880CF0"/>
    <w:rsid w:val="00880D76"/>
    <w:rsid w:val="00880F8E"/>
    <w:rsid w:val="00881965"/>
    <w:rsid w:val="00882856"/>
    <w:rsid w:val="00882FAE"/>
    <w:rsid w:val="00883D0F"/>
    <w:rsid w:val="00886650"/>
    <w:rsid w:val="0089031A"/>
    <w:rsid w:val="00892229"/>
    <w:rsid w:val="00893572"/>
    <w:rsid w:val="00894011"/>
    <w:rsid w:val="00894653"/>
    <w:rsid w:val="00895486"/>
    <w:rsid w:val="008955B5"/>
    <w:rsid w:val="00897C86"/>
    <w:rsid w:val="008A1770"/>
    <w:rsid w:val="008A1C33"/>
    <w:rsid w:val="008A1E78"/>
    <w:rsid w:val="008A5174"/>
    <w:rsid w:val="008B1A75"/>
    <w:rsid w:val="008B2B95"/>
    <w:rsid w:val="008B3229"/>
    <w:rsid w:val="008C1DFA"/>
    <w:rsid w:val="008C528E"/>
    <w:rsid w:val="008C588D"/>
    <w:rsid w:val="008C7B27"/>
    <w:rsid w:val="008D0413"/>
    <w:rsid w:val="008D05B0"/>
    <w:rsid w:val="008D0C16"/>
    <w:rsid w:val="008D1EB7"/>
    <w:rsid w:val="008D3A21"/>
    <w:rsid w:val="008D71E3"/>
    <w:rsid w:val="008E0B1E"/>
    <w:rsid w:val="008E47C9"/>
    <w:rsid w:val="008E675A"/>
    <w:rsid w:val="008F09F3"/>
    <w:rsid w:val="008F0ADC"/>
    <w:rsid w:val="008F182B"/>
    <w:rsid w:val="008F5807"/>
    <w:rsid w:val="008F740A"/>
    <w:rsid w:val="009007DA"/>
    <w:rsid w:val="00900E8B"/>
    <w:rsid w:val="009010D0"/>
    <w:rsid w:val="00901822"/>
    <w:rsid w:val="0090394E"/>
    <w:rsid w:val="009040D1"/>
    <w:rsid w:val="00905AF1"/>
    <w:rsid w:val="00906741"/>
    <w:rsid w:val="00906E0C"/>
    <w:rsid w:val="00911205"/>
    <w:rsid w:val="00913D04"/>
    <w:rsid w:val="009144B6"/>
    <w:rsid w:val="00916E94"/>
    <w:rsid w:val="009178A0"/>
    <w:rsid w:val="009234D7"/>
    <w:rsid w:val="009234DB"/>
    <w:rsid w:val="00923674"/>
    <w:rsid w:val="00923FC2"/>
    <w:rsid w:val="009271CF"/>
    <w:rsid w:val="00930FA2"/>
    <w:rsid w:val="00932337"/>
    <w:rsid w:val="0093286D"/>
    <w:rsid w:val="0093487C"/>
    <w:rsid w:val="009353F3"/>
    <w:rsid w:val="009359AE"/>
    <w:rsid w:val="00937C45"/>
    <w:rsid w:val="00937E22"/>
    <w:rsid w:val="009401FA"/>
    <w:rsid w:val="00942E5E"/>
    <w:rsid w:val="00943078"/>
    <w:rsid w:val="0094361C"/>
    <w:rsid w:val="00944848"/>
    <w:rsid w:val="0094721E"/>
    <w:rsid w:val="009477F5"/>
    <w:rsid w:val="00953219"/>
    <w:rsid w:val="0095428D"/>
    <w:rsid w:val="00956416"/>
    <w:rsid w:val="00957AA6"/>
    <w:rsid w:val="009605D4"/>
    <w:rsid w:val="00960763"/>
    <w:rsid w:val="009611C0"/>
    <w:rsid w:val="00962CE7"/>
    <w:rsid w:val="00963CA1"/>
    <w:rsid w:val="0096619B"/>
    <w:rsid w:val="00967149"/>
    <w:rsid w:val="009679A1"/>
    <w:rsid w:val="009704AE"/>
    <w:rsid w:val="0097243F"/>
    <w:rsid w:val="0097352C"/>
    <w:rsid w:val="00974F57"/>
    <w:rsid w:val="00974FEE"/>
    <w:rsid w:val="009755CF"/>
    <w:rsid w:val="0097590D"/>
    <w:rsid w:val="00976D2F"/>
    <w:rsid w:val="009778A2"/>
    <w:rsid w:val="00980A1F"/>
    <w:rsid w:val="00980C5C"/>
    <w:rsid w:val="00983C06"/>
    <w:rsid w:val="009861E9"/>
    <w:rsid w:val="00990B7B"/>
    <w:rsid w:val="00991211"/>
    <w:rsid w:val="00992049"/>
    <w:rsid w:val="00997D1D"/>
    <w:rsid w:val="009A017A"/>
    <w:rsid w:val="009A1FCA"/>
    <w:rsid w:val="009A5ABD"/>
    <w:rsid w:val="009B0025"/>
    <w:rsid w:val="009B2D6F"/>
    <w:rsid w:val="009B4389"/>
    <w:rsid w:val="009B4FA5"/>
    <w:rsid w:val="009B5B91"/>
    <w:rsid w:val="009B6402"/>
    <w:rsid w:val="009C33BA"/>
    <w:rsid w:val="009C4BBF"/>
    <w:rsid w:val="009C4BFA"/>
    <w:rsid w:val="009C5AE0"/>
    <w:rsid w:val="009C684E"/>
    <w:rsid w:val="009C6E6D"/>
    <w:rsid w:val="009C7B3B"/>
    <w:rsid w:val="009D0124"/>
    <w:rsid w:val="009D0529"/>
    <w:rsid w:val="009D0FBE"/>
    <w:rsid w:val="009D5ADF"/>
    <w:rsid w:val="009D649C"/>
    <w:rsid w:val="009D6A4E"/>
    <w:rsid w:val="009E0422"/>
    <w:rsid w:val="009E0433"/>
    <w:rsid w:val="009E2467"/>
    <w:rsid w:val="009E33B0"/>
    <w:rsid w:val="009E3D9A"/>
    <w:rsid w:val="009E4105"/>
    <w:rsid w:val="009E57CF"/>
    <w:rsid w:val="009F0896"/>
    <w:rsid w:val="009F227C"/>
    <w:rsid w:val="009F6712"/>
    <w:rsid w:val="009F70BE"/>
    <w:rsid w:val="00A02B51"/>
    <w:rsid w:val="00A04CF5"/>
    <w:rsid w:val="00A10981"/>
    <w:rsid w:val="00A109E2"/>
    <w:rsid w:val="00A1122A"/>
    <w:rsid w:val="00A11F8B"/>
    <w:rsid w:val="00A135A2"/>
    <w:rsid w:val="00A13D8C"/>
    <w:rsid w:val="00A1619F"/>
    <w:rsid w:val="00A16F1B"/>
    <w:rsid w:val="00A17320"/>
    <w:rsid w:val="00A17687"/>
    <w:rsid w:val="00A1772B"/>
    <w:rsid w:val="00A2047A"/>
    <w:rsid w:val="00A22292"/>
    <w:rsid w:val="00A24D61"/>
    <w:rsid w:val="00A250D8"/>
    <w:rsid w:val="00A25510"/>
    <w:rsid w:val="00A25F75"/>
    <w:rsid w:val="00A26296"/>
    <w:rsid w:val="00A30272"/>
    <w:rsid w:val="00A30B19"/>
    <w:rsid w:val="00A30EBC"/>
    <w:rsid w:val="00A32A2B"/>
    <w:rsid w:val="00A334B3"/>
    <w:rsid w:val="00A353B0"/>
    <w:rsid w:val="00A35F71"/>
    <w:rsid w:val="00A364CF"/>
    <w:rsid w:val="00A3786D"/>
    <w:rsid w:val="00A42DFC"/>
    <w:rsid w:val="00A42E5F"/>
    <w:rsid w:val="00A440EF"/>
    <w:rsid w:val="00A44243"/>
    <w:rsid w:val="00A504D5"/>
    <w:rsid w:val="00A51BA6"/>
    <w:rsid w:val="00A51FC9"/>
    <w:rsid w:val="00A531FC"/>
    <w:rsid w:val="00A53722"/>
    <w:rsid w:val="00A53A9A"/>
    <w:rsid w:val="00A54BDB"/>
    <w:rsid w:val="00A56E04"/>
    <w:rsid w:val="00A5729B"/>
    <w:rsid w:val="00A57543"/>
    <w:rsid w:val="00A5757B"/>
    <w:rsid w:val="00A575C0"/>
    <w:rsid w:val="00A57AC5"/>
    <w:rsid w:val="00A604C6"/>
    <w:rsid w:val="00A60F02"/>
    <w:rsid w:val="00A613A7"/>
    <w:rsid w:val="00A6154E"/>
    <w:rsid w:val="00A62526"/>
    <w:rsid w:val="00A6275D"/>
    <w:rsid w:val="00A62901"/>
    <w:rsid w:val="00A6396E"/>
    <w:rsid w:val="00A63B5B"/>
    <w:rsid w:val="00A65DBE"/>
    <w:rsid w:val="00A70170"/>
    <w:rsid w:val="00A7025A"/>
    <w:rsid w:val="00A702B1"/>
    <w:rsid w:val="00A70D7F"/>
    <w:rsid w:val="00A71953"/>
    <w:rsid w:val="00A7246E"/>
    <w:rsid w:val="00A74E43"/>
    <w:rsid w:val="00A764A2"/>
    <w:rsid w:val="00A77372"/>
    <w:rsid w:val="00A77582"/>
    <w:rsid w:val="00A77768"/>
    <w:rsid w:val="00A82EA3"/>
    <w:rsid w:val="00A8496E"/>
    <w:rsid w:val="00A87307"/>
    <w:rsid w:val="00A9059A"/>
    <w:rsid w:val="00A90FDF"/>
    <w:rsid w:val="00A9499B"/>
    <w:rsid w:val="00A96E26"/>
    <w:rsid w:val="00A975D1"/>
    <w:rsid w:val="00AA030C"/>
    <w:rsid w:val="00AA1CC7"/>
    <w:rsid w:val="00AA3365"/>
    <w:rsid w:val="00AA43B8"/>
    <w:rsid w:val="00AA4990"/>
    <w:rsid w:val="00AA66D1"/>
    <w:rsid w:val="00AA7BB3"/>
    <w:rsid w:val="00AB25CE"/>
    <w:rsid w:val="00AB3C1C"/>
    <w:rsid w:val="00AB5451"/>
    <w:rsid w:val="00AB54C0"/>
    <w:rsid w:val="00AB6CF2"/>
    <w:rsid w:val="00AC11CA"/>
    <w:rsid w:val="00AC183E"/>
    <w:rsid w:val="00AC2EBD"/>
    <w:rsid w:val="00AC39E5"/>
    <w:rsid w:val="00AC4C72"/>
    <w:rsid w:val="00AC54D8"/>
    <w:rsid w:val="00AC64A8"/>
    <w:rsid w:val="00AD07AA"/>
    <w:rsid w:val="00AD1E17"/>
    <w:rsid w:val="00AD3D67"/>
    <w:rsid w:val="00AD5B5B"/>
    <w:rsid w:val="00AD69B2"/>
    <w:rsid w:val="00AD6A9D"/>
    <w:rsid w:val="00AD7A58"/>
    <w:rsid w:val="00AD7B6F"/>
    <w:rsid w:val="00AD7E34"/>
    <w:rsid w:val="00AE00BC"/>
    <w:rsid w:val="00AE0EA0"/>
    <w:rsid w:val="00AE0F26"/>
    <w:rsid w:val="00AE24F0"/>
    <w:rsid w:val="00AE53C3"/>
    <w:rsid w:val="00AE5D85"/>
    <w:rsid w:val="00AE70C9"/>
    <w:rsid w:val="00AE7F80"/>
    <w:rsid w:val="00AF04E8"/>
    <w:rsid w:val="00AF10B3"/>
    <w:rsid w:val="00AF23BD"/>
    <w:rsid w:val="00AF2EA2"/>
    <w:rsid w:val="00AF3E85"/>
    <w:rsid w:val="00AF4A98"/>
    <w:rsid w:val="00AF4B74"/>
    <w:rsid w:val="00AF4BA4"/>
    <w:rsid w:val="00AF6B8B"/>
    <w:rsid w:val="00B00FF4"/>
    <w:rsid w:val="00B01878"/>
    <w:rsid w:val="00B03C9A"/>
    <w:rsid w:val="00B049CF"/>
    <w:rsid w:val="00B07B4E"/>
    <w:rsid w:val="00B1099C"/>
    <w:rsid w:val="00B10B0F"/>
    <w:rsid w:val="00B11362"/>
    <w:rsid w:val="00B1153A"/>
    <w:rsid w:val="00B115B4"/>
    <w:rsid w:val="00B11E98"/>
    <w:rsid w:val="00B12CDE"/>
    <w:rsid w:val="00B12F02"/>
    <w:rsid w:val="00B15E07"/>
    <w:rsid w:val="00B16287"/>
    <w:rsid w:val="00B1689E"/>
    <w:rsid w:val="00B20869"/>
    <w:rsid w:val="00B212BB"/>
    <w:rsid w:val="00B21372"/>
    <w:rsid w:val="00B21807"/>
    <w:rsid w:val="00B21C44"/>
    <w:rsid w:val="00B2460B"/>
    <w:rsid w:val="00B253B6"/>
    <w:rsid w:val="00B25A9D"/>
    <w:rsid w:val="00B25B6F"/>
    <w:rsid w:val="00B27296"/>
    <w:rsid w:val="00B27713"/>
    <w:rsid w:val="00B27C2C"/>
    <w:rsid w:val="00B306AB"/>
    <w:rsid w:val="00B322B2"/>
    <w:rsid w:val="00B34D10"/>
    <w:rsid w:val="00B34E68"/>
    <w:rsid w:val="00B42C38"/>
    <w:rsid w:val="00B42FA3"/>
    <w:rsid w:val="00B436BF"/>
    <w:rsid w:val="00B4494E"/>
    <w:rsid w:val="00B44C58"/>
    <w:rsid w:val="00B46485"/>
    <w:rsid w:val="00B54632"/>
    <w:rsid w:val="00B54DF7"/>
    <w:rsid w:val="00B56104"/>
    <w:rsid w:val="00B56123"/>
    <w:rsid w:val="00B57F08"/>
    <w:rsid w:val="00B60033"/>
    <w:rsid w:val="00B604DB"/>
    <w:rsid w:val="00B6082E"/>
    <w:rsid w:val="00B61CA6"/>
    <w:rsid w:val="00B62818"/>
    <w:rsid w:val="00B65466"/>
    <w:rsid w:val="00B67850"/>
    <w:rsid w:val="00B7120B"/>
    <w:rsid w:val="00B71EE2"/>
    <w:rsid w:val="00B73100"/>
    <w:rsid w:val="00B73815"/>
    <w:rsid w:val="00B74701"/>
    <w:rsid w:val="00B7501C"/>
    <w:rsid w:val="00B76222"/>
    <w:rsid w:val="00B77875"/>
    <w:rsid w:val="00B81678"/>
    <w:rsid w:val="00B830CD"/>
    <w:rsid w:val="00B8491C"/>
    <w:rsid w:val="00B86DD7"/>
    <w:rsid w:val="00B86EC6"/>
    <w:rsid w:val="00B879C8"/>
    <w:rsid w:val="00B91155"/>
    <w:rsid w:val="00B92D25"/>
    <w:rsid w:val="00B93D64"/>
    <w:rsid w:val="00B94683"/>
    <w:rsid w:val="00B95E71"/>
    <w:rsid w:val="00BA00A6"/>
    <w:rsid w:val="00BA2738"/>
    <w:rsid w:val="00BA29AB"/>
    <w:rsid w:val="00BA41A6"/>
    <w:rsid w:val="00BA4B11"/>
    <w:rsid w:val="00BA595F"/>
    <w:rsid w:val="00BA63FF"/>
    <w:rsid w:val="00BB0C25"/>
    <w:rsid w:val="00BB3F52"/>
    <w:rsid w:val="00BB6193"/>
    <w:rsid w:val="00BB6987"/>
    <w:rsid w:val="00BB6A90"/>
    <w:rsid w:val="00BB6B2C"/>
    <w:rsid w:val="00BB7149"/>
    <w:rsid w:val="00BB76E4"/>
    <w:rsid w:val="00BB779C"/>
    <w:rsid w:val="00BC20CC"/>
    <w:rsid w:val="00BC372B"/>
    <w:rsid w:val="00BC39F1"/>
    <w:rsid w:val="00BC4482"/>
    <w:rsid w:val="00BC55A0"/>
    <w:rsid w:val="00BC65DD"/>
    <w:rsid w:val="00BC6764"/>
    <w:rsid w:val="00BC7236"/>
    <w:rsid w:val="00BC78DD"/>
    <w:rsid w:val="00BD07E5"/>
    <w:rsid w:val="00BD11EB"/>
    <w:rsid w:val="00BD1E60"/>
    <w:rsid w:val="00BD5602"/>
    <w:rsid w:val="00BD6130"/>
    <w:rsid w:val="00BD69CF"/>
    <w:rsid w:val="00BD6AE7"/>
    <w:rsid w:val="00BD7284"/>
    <w:rsid w:val="00BD7AFF"/>
    <w:rsid w:val="00BE0EE4"/>
    <w:rsid w:val="00BE2809"/>
    <w:rsid w:val="00BE2ECE"/>
    <w:rsid w:val="00BE33C7"/>
    <w:rsid w:val="00BE5030"/>
    <w:rsid w:val="00BE59D2"/>
    <w:rsid w:val="00BE71E4"/>
    <w:rsid w:val="00BF0401"/>
    <w:rsid w:val="00BF0F35"/>
    <w:rsid w:val="00BF2979"/>
    <w:rsid w:val="00BF315D"/>
    <w:rsid w:val="00BF4339"/>
    <w:rsid w:val="00BF4FD1"/>
    <w:rsid w:val="00BF7B97"/>
    <w:rsid w:val="00C00324"/>
    <w:rsid w:val="00C00D11"/>
    <w:rsid w:val="00C01505"/>
    <w:rsid w:val="00C01BB5"/>
    <w:rsid w:val="00C01DAA"/>
    <w:rsid w:val="00C047FC"/>
    <w:rsid w:val="00C04BEB"/>
    <w:rsid w:val="00C04F31"/>
    <w:rsid w:val="00C07C8F"/>
    <w:rsid w:val="00C07F10"/>
    <w:rsid w:val="00C10491"/>
    <w:rsid w:val="00C113B7"/>
    <w:rsid w:val="00C11458"/>
    <w:rsid w:val="00C116E5"/>
    <w:rsid w:val="00C11B4A"/>
    <w:rsid w:val="00C12115"/>
    <w:rsid w:val="00C1313D"/>
    <w:rsid w:val="00C13F16"/>
    <w:rsid w:val="00C1454D"/>
    <w:rsid w:val="00C149AD"/>
    <w:rsid w:val="00C168D9"/>
    <w:rsid w:val="00C174F1"/>
    <w:rsid w:val="00C17F42"/>
    <w:rsid w:val="00C21850"/>
    <w:rsid w:val="00C239DF"/>
    <w:rsid w:val="00C241DA"/>
    <w:rsid w:val="00C26788"/>
    <w:rsid w:val="00C27995"/>
    <w:rsid w:val="00C279B5"/>
    <w:rsid w:val="00C27FEC"/>
    <w:rsid w:val="00C300FA"/>
    <w:rsid w:val="00C305E0"/>
    <w:rsid w:val="00C32652"/>
    <w:rsid w:val="00C32FC1"/>
    <w:rsid w:val="00C336F6"/>
    <w:rsid w:val="00C337D6"/>
    <w:rsid w:val="00C34F11"/>
    <w:rsid w:val="00C35DE5"/>
    <w:rsid w:val="00C3720B"/>
    <w:rsid w:val="00C37949"/>
    <w:rsid w:val="00C405F3"/>
    <w:rsid w:val="00C408ED"/>
    <w:rsid w:val="00C40B37"/>
    <w:rsid w:val="00C40FB2"/>
    <w:rsid w:val="00C4166A"/>
    <w:rsid w:val="00C428BB"/>
    <w:rsid w:val="00C43A7A"/>
    <w:rsid w:val="00C43CBC"/>
    <w:rsid w:val="00C44087"/>
    <w:rsid w:val="00C4453A"/>
    <w:rsid w:val="00C504A4"/>
    <w:rsid w:val="00C51998"/>
    <w:rsid w:val="00C52223"/>
    <w:rsid w:val="00C5262B"/>
    <w:rsid w:val="00C52FD5"/>
    <w:rsid w:val="00C61190"/>
    <w:rsid w:val="00C6158C"/>
    <w:rsid w:val="00C6190C"/>
    <w:rsid w:val="00C61F5E"/>
    <w:rsid w:val="00C61FF9"/>
    <w:rsid w:val="00C622DD"/>
    <w:rsid w:val="00C64A3E"/>
    <w:rsid w:val="00C6545E"/>
    <w:rsid w:val="00C65B04"/>
    <w:rsid w:val="00C6650A"/>
    <w:rsid w:val="00C66EDE"/>
    <w:rsid w:val="00C71FD5"/>
    <w:rsid w:val="00C73B90"/>
    <w:rsid w:val="00C760C6"/>
    <w:rsid w:val="00C801F3"/>
    <w:rsid w:val="00C8080A"/>
    <w:rsid w:val="00C81CDD"/>
    <w:rsid w:val="00C82111"/>
    <w:rsid w:val="00C8341A"/>
    <w:rsid w:val="00C83CB1"/>
    <w:rsid w:val="00C840BE"/>
    <w:rsid w:val="00C87AE3"/>
    <w:rsid w:val="00C9004F"/>
    <w:rsid w:val="00C919DE"/>
    <w:rsid w:val="00C9234B"/>
    <w:rsid w:val="00C95FD3"/>
    <w:rsid w:val="00C9611B"/>
    <w:rsid w:val="00C96E79"/>
    <w:rsid w:val="00C96EBB"/>
    <w:rsid w:val="00C972F1"/>
    <w:rsid w:val="00C97BB0"/>
    <w:rsid w:val="00CA1BA5"/>
    <w:rsid w:val="00CA28BA"/>
    <w:rsid w:val="00CA2CB6"/>
    <w:rsid w:val="00CA3F15"/>
    <w:rsid w:val="00CA5732"/>
    <w:rsid w:val="00CA75BB"/>
    <w:rsid w:val="00CB1462"/>
    <w:rsid w:val="00CB170E"/>
    <w:rsid w:val="00CB37B2"/>
    <w:rsid w:val="00CB5D8A"/>
    <w:rsid w:val="00CB6CF2"/>
    <w:rsid w:val="00CB797D"/>
    <w:rsid w:val="00CC0332"/>
    <w:rsid w:val="00CC0E89"/>
    <w:rsid w:val="00CC12F5"/>
    <w:rsid w:val="00CC3C61"/>
    <w:rsid w:val="00CC67AB"/>
    <w:rsid w:val="00CC6FAE"/>
    <w:rsid w:val="00CC75BC"/>
    <w:rsid w:val="00CC7A25"/>
    <w:rsid w:val="00CD1735"/>
    <w:rsid w:val="00CD2EF6"/>
    <w:rsid w:val="00CD303E"/>
    <w:rsid w:val="00CD55A1"/>
    <w:rsid w:val="00CD5EDB"/>
    <w:rsid w:val="00CE0878"/>
    <w:rsid w:val="00CE12DB"/>
    <w:rsid w:val="00CE189E"/>
    <w:rsid w:val="00CE2598"/>
    <w:rsid w:val="00CF1772"/>
    <w:rsid w:val="00CF2D31"/>
    <w:rsid w:val="00CF33DC"/>
    <w:rsid w:val="00CF3488"/>
    <w:rsid w:val="00CF34B7"/>
    <w:rsid w:val="00CF3743"/>
    <w:rsid w:val="00CF3C7B"/>
    <w:rsid w:val="00CF3D52"/>
    <w:rsid w:val="00CF4962"/>
    <w:rsid w:val="00CF4B17"/>
    <w:rsid w:val="00CF570E"/>
    <w:rsid w:val="00CF6213"/>
    <w:rsid w:val="00CF6A12"/>
    <w:rsid w:val="00D01CC5"/>
    <w:rsid w:val="00D02451"/>
    <w:rsid w:val="00D02D52"/>
    <w:rsid w:val="00D03367"/>
    <w:rsid w:val="00D05380"/>
    <w:rsid w:val="00D053E6"/>
    <w:rsid w:val="00D05EE9"/>
    <w:rsid w:val="00D061F3"/>
    <w:rsid w:val="00D075D3"/>
    <w:rsid w:val="00D10D62"/>
    <w:rsid w:val="00D10FC8"/>
    <w:rsid w:val="00D1105E"/>
    <w:rsid w:val="00D11484"/>
    <w:rsid w:val="00D11931"/>
    <w:rsid w:val="00D12ACE"/>
    <w:rsid w:val="00D15704"/>
    <w:rsid w:val="00D161DB"/>
    <w:rsid w:val="00D171B1"/>
    <w:rsid w:val="00D176EA"/>
    <w:rsid w:val="00D17A3E"/>
    <w:rsid w:val="00D2044A"/>
    <w:rsid w:val="00D2367A"/>
    <w:rsid w:val="00D25ECC"/>
    <w:rsid w:val="00D26A2D"/>
    <w:rsid w:val="00D26EED"/>
    <w:rsid w:val="00D27ED6"/>
    <w:rsid w:val="00D305FF"/>
    <w:rsid w:val="00D32626"/>
    <w:rsid w:val="00D35355"/>
    <w:rsid w:val="00D3647E"/>
    <w:rsid w:val="00D404DE"/>
    <w:rsid w:val="00D42611"/>
    <w:rsid w:val="00D442FB"/>
    <w:rsid w:val="00D44FB9"/>
    <w:rsid w:val="00D4605D"/>
    <w:rsid w:val="00D471E2"/>
    <w:rsid w:val="00D47E30"/>
    <w:rsid w:val="00D510F0"/>
    <w:rsid w:val="00D51B34"/>
    <w:rsid w:val="00D55916"/>
    <w:rsid w:val="00D573E1"/>
    <w:rsid w:val="00D57F75"/>
    <w:rsid w:val="00D624EB"/>
    <w:rsid w:val="00D6305B"/>
    <w:rsid w:val="00D654B7"/>
    <w:rsid w:val="00D7185C"/>
    <w:rsid w:val="00D71967"/>
    <w:rsid w:val="00D74BCA"/>
    <w:rsid w:val="00D77078"/>
    <w:rsid w:val="00D7707A"/>
    <w:rsid w:val="00D82FF3"/>
    <w:rsid w:val="00D928F1"/>
    <w:rsid w:val="00D9404C"/>
    <w:rsid w:val="00D95B6B"/>
    <w:rsid w:val="00D975EB"/>
    <w:rsid w:val="00D9773E"/>
    <w:rsid w:val="00D979A3"/>
    <w:rsid w:val="00DA028D"/>
    <w:rsid w:val="00DA03FE"/>
    <w:rsid w:val="00DA08AB"/>
    <w:rsid w:val="00DA1196"/>
    <w:rsid w:val="00DA1F63"/>
    <w:rsid w:val="00DA2CD2"/>
    <w:rsid w:val="00DA6771"/>
    <w:rsid w:val="00DA691B"/>
    <w:rsid w:val="00DB3A8F"/>
    <w:rsid w:val="00DB5C92"/>
    <w:rsid w:val="00DB63D9"/>
    <w:rsid w:val="00DB6EAF"/>
    <w:rsid w:val="00DB7290"/>
    <w:rsid w:val="00DC3E99"/>
    <w:rsid w:val="00DC4735"/>
    <w:rsid w:val="00DC5F58"/>
    <w:rsid w:val="00DC7F6E"/>
    <w:rsid w:val="00DD0556"/>
    <w:rsid w:val="00DD204D"/>
    <w:rsid w:val="00DD55DE"/>
    <w:rsid w:val="00DE39D9"/>
    <w:rsid w:val="00DE5056"/>
    <w:rsid w:val="00DE51BC"/>
    <w:rsid w:val="00DE7AEC"/>
    <w:rsid w:val="00DF13C6"/>
    <w:rsid w:val="00DF1424"/>
    <w:rsid w:val="00DF3B63"/>
    <w:rsid w:val="00DF5E44"/>
    <w:rsid w:val="00DF66C3"/>
    <w:rsid w:val="00E016DD"/>
    <w:rsid w:val="00E01FA7"/>
    <w:rsid w:val="00E021E6"/>
    <w:rsid w:val="00E061B8"/>
    <w:rsid w:val="00E07113"/>
    <w:rsid w:val="00E07C1D"/>
    <w:rsid w:val="00E07F6B"/>
    <w:rsid w:val="00E10839"/>
    <w:rsid w:val="00E10BB3"/>
    <w:rsid w:val="00E10C4C"/>
    <w:rsid w:val="00E114E3"/>
    <w:rsid w:val="00E11D2B"/>
    <w:rsid w:val="00E12241"/>
    <w:rsid w:val="00E130B0"/>
    <w:rsid w:val="00E13B05"/>
    <w:rsid w:val="00E14343"/>
    <w:rsid w:val="00E14611"/>
    <w:rsid w:val="00E14832"/>
    <w:rsid w:val="00E15D30"/>
    <w:rsid w:val="00E16AF7"/>
    <w:rsid w:val="00E21E9B"/>
    <w:rsid w:val="00E2231A"/>
    <w:rsid w:val="00E23657"/>
    <w:rsid w:val="00E23D07"/>
    <w:rsid w:val="00E25751"/>
    <w:rsid w:val="00E279DC"/>
    <w:rsid w:val="00E27D76"/>
    <w:rsid w:val="00E317BB"/>
    <w:rsid w:val="00E319FE"/>
    <w:rsid w:val="00E34EEE"/>
    <w:rsid w:val="00E350F7"/>
    <w:rsid w:val="00E37BCF"/>
    <w:rsid w:val="00E41566"/>
    <w:rsid w:val="00E415D0"/>
    <w:rsid w:val="00E43C5D"/>
    <w:rsid w:val="00E44C35"/>
    <w:rsid w:val="00E466CF"/>
    <w:rsid w:val="00E47D57"/>
    <w:rsid w:val="00E50393"/>
    <w:rsid w:val="00E51153"/>
    <w:rsid w:val="00E519D4"/>
    <w:rsid w:val="00E51B79"/>
    <w:rsid w:val="00E52A6A"/>
    <w:rsid w:val="00E5359A"/>
    <w:rsid w:val="00E546DB"/>
    <w:rsid w:val="00E5568A"/>
    <w:rsid w:val="00E61B77"/>
    <w:rsid w:val="00E61E1B"/>
    <w:rsid w:val="00E64D42"/>
    <w:rsid w:val="00E65AE8"/>
    <w:rsid w:val="00E66B94"/>
    <w:rsid w:val="00E67DAE"/>
    <w:rsid w:val="00E74C48"/>
    <w:rsid w:val="00E76D9F"/>
    <w:rsid w:val="00E81398"/>
    <w:rsid w:val="00E832E5"/>
    <w:rsid w:val="00E83CF7"/>
    <w:rsid w:val="00E83F1B"/>
    <w:rsid w:val="00E87828"/>
    <w:rsid w:val="00E9180E"/>
    <w:rsid w:val="00E94BA9"/>
    <w:rsid w:val="00E96993"/>
    <w:rsid w:val="00E972E6"/>
    <w:rsid w:val="00EA35B6"/>
    <w:rsid w:val="00EA3E44"/>
    <w:rsid w:val="00EA4EF1"/>
    <w:rsid w:val="00EA50A7"/>
    <w:rsid w:val="00EA6193"/>
    <w:rsid w:val="00EB2EA5"/>
    <w:rsid w:val="00EB39BA"/>
    <w:rsid w:val="00EB475C"/>
    <w:rsid w:val="00EB4DA0"/>
    <w:rsid w:val="00EB5651"/>
    <w:rsid w:val="00EB60CD"/>
    <w:rsid w:val="00EB61B2"/>
    <w:rsid w:val="00EB6E86"/>
    <w:rsid w:val="00EB7885"/>
    <w:rsid w:val="00EC5E78"/>
    <w:rsid w:val="00EC5EF6"/>
    <w:rsid w:val="00EC60A6"/>
    <w:rsid w:val="00ED24B2"/>
    <w:rsid w:val="00ED37E9"/>
    <w:rsid w:val="00ED3C48"/>
    <w:rsid w:val="00ED4F9E"/>
    <w:rsid w:val="00ED64E8"/>
    <w:rsid w:val="00ED7B57"/>
    <w:rsid w:val="00EE0147"/>
    <w:rsid w:val="00EE18B2"/>
    <w:rsid w:val="00EE2A42"/>
    <w:rsid w:val="00EE2E3C"/>
    <w:rsid w:val="00EE2FA1"/>
    <w:rsid w:val="00EE364E"/>
    <w:rsid w:val="00EE3B85"/>
    <w:rsid w:val="00EE3BF8"/>
    <w:rsid w:val="00EE5B49"/>
    <w:rsid w:val="00EE64EB"/>
    <w:rsid w:val="00EE67A6"/>
    <w:rsid w:val="00EF0529"/>
    <w:rsid w:val="00EF0652"/>
    <w:rsid w:val="00EF0907"/>
    <w:rsid w:val="00EF259A"/>
    <w:rsid w:val="00EF325F"/>
    <w:rsid w:val="00EF4B48"/>
    <w:rsid w:val="00EF5FB5"/>
    <w:rsid w:val="00EF7E97"/>
    <w:rsid w:val="00F00372"/>
    <w:rsid w:val="00F003BD"/>
    <w:rsid w:val="00F01999"/>
    <w:rsid w:val="00F03C40"/>
    <w:rsid w:val="00F03CE0"/>
    <w:rsid w:val="00F03DD3"/>
    <w:rsid w:val="00F05155"/>
    <w:rsid w:val="00F06683"/>
    <w:rsid w:val="00F06B31"/>
    <w:rsid w:val="00F11D9F"/>
    <w:rsid w:val="00F1230C"/>
    <w:rsid w:val="00F12F77"/>
    <w:rsid w:val="00F13948"/>
    <w:rsid w:val="00F14396"/>
    <w:rsid w:val="00F152C1"/>
    <w:rsid w:val="00F17604"/>
    <w:rsid w:val="00F208CC"/>
    <w:rsid w:val="00F22F4A"/>
    <w:rsid w:val="00F233A2"/>
    <w:rsid w:val="00F238E4"/>
    <w:rsid w:val="00F23909"/>
    <w:rsid w:val="00F249CF"/>
    <w:rsid w:val="00F265A0"/>
    <w:rsid w:val="00F272D0"/>
    <w:rsid w:val="00F30FD5"/>
    <w:rsid w:val="00F325A4"/>
    <w:rsid w:val="00F32E96"/>
    <w:rsid w:val="00F338E7"/>
    <w:rsid w:val="00F33C7C"/>
    <w:rsid w:val="00F34FCC"/>
    <w:rsid w:val="00F35B67"/>
    <w:rsid w:val="00F36B64"/>
    <w:rsid w:val="00F41D2F"/>
    <w:rsid w:val="00F4328C"/>
    <w:rsid w:val="00F43671"/>
    <w:rsid w:val="00F43D8E"/>
    <w:rsid w:val="00F444C4"/>
    <w:rsid w:val="00F45B2B"/>
    <w:rsid w:val="00F47220"/>
    <w:rsid w:val="00F47C61"/>
    <w:rsid w:val="00F50138"/>
    <w:rsid w:val="00F50A2C"/>
    <w:rsid w:val="00F52104"/>
    <w:rsid w:val="00F531F3"/>
    <w:rsid w:val="00F538A9"/>
    <w:rsid w:val="00F53D01"/>
    <w:rsid w:val="00F56A63"/>
    <w:rsid w:val="00F60C93"/>
    <w:rsid w:val="00F61F1F"/>
    <w:rsid w:val="00F62907"/>
    <w:rsid w:val="00F63938"/>
    <w:rsid w:val="00F64376"/>
    <w:rsid w:val="00F64E17"/>
    <w:rsid w:val="00F65088"/>
    <w:rsid w:val="00F67726"/>
    <w:rsid w:val="00F70189"/>
    <w:rsid w:val="00F745F9"/>
    <w:rsid w:val="00F746F9"/>
    <w:rsid w:val="00F81135"/>
    <w:rsid w:val="00F831AB"/>
    <w:rsid w:val="00F83256"/>
    <w:rsid w:val="00F846A3"/>
    <w:rsid w:val="00F858B4"/>
    <w:rsid w:val="00F87E04"/>
    <w:rsid w:val="00F925A2"/>
    <w:rsid w:val="00F92980"/>
    <w:rsid w:val="00F93989"/>
    <w:rsid w:val="00F954CF"/>
    <w:rsid w:val="00FA272C"/>
    <w:rsid w:val="00FA3B65"/>
    <w:rsid w:val="00FA4552"/>
    <w:rsid w:val="00FA5554"/>
    <w:rsid w:val="00FA6B81"/>
    <w:rsid w:val="00FA7085"/>
    <w:rsid w:val="00FB0D8C"/>
    <w:rsid w:val="00FB176E"/>
    <w:rsid w:val="00FB3BCE"/>
    <w:rsid w:val="00FB650B"/>
    <w:rsid w:val="00FB76F4"/>
    <w:rsid w:val="00FB7737"/>
    <w:rsid w:val="00FB7B1B"/>
    <w:rsid w:val="00FC008B"/>
    <w:rsid w:val="00FC21F3"/>
    <w:rsid w:val="00FC3725"/>
    <w:rsid w:val="00FC374B"/>
    <w:rsid w:val="00FC3B81"/>
    <w:rsid w:val="00FC4CBC"/>
    <w:rsid w:val="00FC6BAF"/>
    <w:rsid w:val="00FD12CE"/>
    <w:rsid w:val="00FD13B4"/>
    <w:rsid w:val="00FD185B"/>
    <w:rsid w:val="00FD1B1F"/>
    <w:rsid w:val="00FD3FBE"/>
    <w:rsid w:val="00FD42BE"/>
    <w:rsid w:val="00FD5156"/>
    <w:rsid w:val="00FD5440"/>
    <w:rsid w:val="00FD560C"/>
    <w:rsid w:val="00FE2CC9"/>
    <w:rsid w:val="00FE3B67"/>
    <w:rsid w:val="00FE4AC5"/>
    <w:rsid w:val="00FE5710"/>
    <w:rsid w:val="00FE5A8E"/>
    <w:rsid w:val="00FF02BB"/>
    <w:rsid w:val="00FF11E8"/>
    <w:rsid w:val="00FF160E"/>
    <w:rsid w:val="00FF23E5"/>
    <w:rsid w:val="00FF30A1"/>
    <w:rsid w:val="00FF46D6"/>
    <w:rsid w:val="00FF5523"/>
    <w:rsid w:val="00FF77AF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A7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A7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oginashvili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</dc:creator>
  <cp:lastModifiedBy>Ketevan Goginashvili</cp:lastModifiedBy>
  <cp:revision>7</cp:revision>
  <dcterms:created xsi:type="dcterms:W3CDTF">2019-01-30T09:39:00Z</dcterms:created>
  <dcterms:modified xsi:type="dcterms:W3CDTF">2019-12-17T09:39:00Z</dcterms:modified>
</cp:coreProperties>
</file>